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C86CA">
      <w:pPr>
        <w:pStyle w:val="31"/>
        <w:spacing w:after="360"/>
        <w:jc w:val="center"/>
      </w:pPr>
      <w:r>
        <w:rPr>
          <w:rFonts w:ascii="Times New Roman" w:hAnsi="Times New Roman" w:eastAsia="黑体" w:cstheme="minorBidi"/>
          <w:b/>
          <w:color w:val="C00000"/>
          <w:spacing w:val="0"/>
          <w:kern w:val="0"/>
          <w:sz w:val="36"/>
          <w:szCs w:val="22"/>
          <w:lang w:val="en-US" w:eastAsia="en-US" w:bidi="ar-SA"/>
        </w:rPr>
        <w:t>2025-2026学年“课堂教学名师”评选工作常见问题解答</w:t>
      </w:r>
    </w:p>
    <w:p w14:paraId="502C6EC1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为帮助各教学单位和广大教师准确理解2025-2026学年“课堂教学名师”评选工作有关安排，根据《关于开展2025-2026学年“课堂教学名师”评选工作的通知》，现将大家普遍关心的问题解答如下：</w:t>
      </w:r>
    </w:p>
    <w:p w14:paraId="1B8A0589">
      <w:pPr>
        <w:pStyle w:val="3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一、申报资格</w:t>
      </w:r>
    </w:p>
    <w:p w14:paraId="5FFB9ABE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Q1 哪些教师可以申报？</w:t>
      </w:r>
    </w:p>
    <w:p w14:paraId="2D2E6D38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答：从事教学工作，承担我校学历教育教学任务满3年及以上，并完成2025-2026学年教学工作量的专任教师，均可参加评选。</w:t>
      </w:r>
    </w:p>
    <w:p w14:paraId="28826DED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Q2 申报需要满足哪些条件？</w:t>
      </w:r>
    </w:p>
    <w:p w14:paraId="574DA95D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答：①具备讲师及以上专业技术职务；②2025-2026学年度专任教师教学质量评价为A级，其他材料特别优秀者可放宽至B级；③教学风格特色鲜明、教学效果良好，教学文档齐全规范，课堂教学深受学生好评。</w:t>
      </w:r>
    </w:p>
    <w:p w14:paraId="5DE92C80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Q3 哪些情况不能申报？</w:t>
      </w:r>
    </w:p>
    <w:p w14:paraId="7EF1444F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答：①近三年已获评“课堂教学名师”称号的教师，原则上不再参与本次评选；②近3年属于师德失范一票否决、因违法违纪受到处罚处分、或因教学差错或教学事故受到处分处理的，不得推荐评审。</w:t>
      </w:r>
    </w:p>
    <w:p w14:paraId="3465163F">
      <w:pPr>
        <w:pStyle w:val="3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二、推荐与材料报送</w:t>
      </w:r>
    </w:p>
    <w:p w14:paraId="55FD0E34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Q4 各单位推荐名额是多少？</w:t>
      </w:r>
    </w:p>
    <w:p w14:paraId="0C3E1A4A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答：推荐候选人不超过学校确定的推荐限额（合计20-21人），各教学单位限额如下：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24B09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024" w:type="dxa"/>
            <w:shd w:val="clear" w:color="auto" w:fill="D9D9D9"/>
            <w:vAlign w:val="center"/>
          </w:tcPr>
          <w:p w14:paraId="34550FF2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49ECA0ED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教学单位</w:t>
            </w:r>
          </w:p>
        </w:tc>
        <w:tc>
          <w:tcPr>
            <w:tcW w:w="3024" w:type="dxa"/>
            <w:shd w:val="clear" w:color="auto" w:fill="D9D9D9"/>
            <w:vAlign w:val="center"/>
          </w:tcPr>
          <w:p w14:paraId="355B390B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申报限额（人）</w:t>
            </w:r>
          </w:p>
        </w:tc>
      </w:tr>
      <w:tr w14:paraId="7D84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7C03BA26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3024" w:type="dxa"/>
            <w:vAlign w:val="center"/>
          </w:tcPr>
          <w:p w14:paraId="5E1174BA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计算机与软件学院</w:t>
            </w:r>
          </w:p>
        </w:tc>
        <w:tc>
          <w:tcPr>
            <w:tcW w:w="3024" w:type="dxa"/>
            <w:vAlign w:val="center"/>
          </w:tcPr>
          <w:p w14:paraId="1F75E48A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</w:tr>
      <w:tr w14:paraId="07C2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098F20C7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3024" w:type="dxa"/>
            <w:vAlign w:val="center"/>
          </w:tcPr>
          <w:p w14:paraId="43F0B696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信息与商务管理学院</w:t>
            </w:r>
          </w:p>
        </w:tc>
        <w:tc>
          <w:tcPr>
            <w:tcW w:w="3024" w:type="dxa"/>
            <w:vAlign w:val="center"/>
          </w:tcPr>
          <w:p w14:paraId="7AA39417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</w:tr>
      <w:tr w14:paraId="0EDD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4C0D2A7B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3024" w:type="dxa"/>
            <w:vAlign w:val="center"/>
          </w:tcPr>
          <w:p w14:paraId="68E8A5F3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数字艺术与设计学院</w:t>
            </w:r>
          </w:p>
        </w:tc>
        <w:tc>
          <w:tcPr>
            <w:tcW w:w="3024" w:type="dxa"/>
            <w:vAlign w:val="center"/>
          </w:tcPr>
          <w:p w14:paraId="3CD4212A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</w:tr>
      <w:tr w14:paraId="5E82F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3F695A3D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3024" w:type="dxa"/>
            <w:vAlign w:val="center"/>
          </w:tcPr>
          <w:p w14:paraId="7840DDAB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智能科学与工程学院</w:t>
            </w:r>
          </w:p>
        </w:tc>
        <w:tc>
          <w:tcPr>
            <w:tcW w:w="3024" w:type="dxa"/>
            <w:vAlign w:val="center"/>
          </w:tcPr>
          <w:p w14:paraId="0B5750F3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3</w:t>
            </w:r>
          </w:p>
        </w:tc>
      </w:tr>
      <w:tr w14:paraId="2239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524F2482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3024" w:type="dxa"/>
            <w:vAlign w:val="center"/>
          </w:tcPr>
          <w:p w14:paraId="1E7AE65E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外国语学院</w:t>
            </w:r>
          </w:p>
        </w:tc>
        <w:tc>
          <w:tcPr>
            <w:tcW w:w="3024" w:type="dxa"/>
            <w:vAlign w:val="center"/>
          </w:tcPr>
          <w:p w14:paraId="4C547E36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</w:t>
            </w:r>
          </w:p>
        </w:tc>
      </w:tr>
      <w:tr w14:paraId="1983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0E0BDA6B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3024" w:type="dxa"/>
            <w:vAlign w:val="center"/>
          </w:tcPr>
          <w:p w14:paraId="5129EE33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健康医疗科技学院</w:t>
            </w:r>
          </w:p>
        </w:tc>
        <w:tc>
          <w:tcPr>
            <w:tcW w:w="3024" w:type="dxa"/>
            <w:vAlign w:val="center"/>
          </w:tcPr>
          <w:p w14:paraId="1A456242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2</w:t>
            </w:r>
          </w:p>
        </w:tc>
      </w:tr>
      <w:tr w14:paraId="4B15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0D5A3A20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3024" w:type="dxa"/>
            <w:vAlign w:val="center"/>
          </w:tcPr>
          <w:p w14:paraId="215A3C74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数智应用技术学院</w:t>
            </w:r>
          </w:p>
        </w:tc>
        <w:tc>
          <w:tcPr>
            <w:tcW w:w="3024" w:type="dxa"/>
            <w:vAlign w:val="center"/>
          </w:tcPr>
          <w:p w14:paraId="22C3AA99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</w:t>
            </w:r>
          </w:p>
        </w:tc>
      </w:tr>
      <w:tr w14:paraId="1834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24CA4F8D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3024" w:type="dxa"/>
            <w:vAlign w:val="center"/>
          </w:tcPr>
          <w:p w14:paraId="2A4C822F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数</w:t>
            </w:r>
            <w:bookmarkStart w:id="0" w:name="_GoBack"/>
            <w:bookmarkEnd w:id="0"/>
            <w:r>
              <w:rPr>
                <w:rFonts w:ascii="Arial" w:hAnsi="Arial" w:eastAsia="宋体"/>
                <w:b w:val="0"/>
                <w:color w:val="000000"/>
                <w:sz w:val="21"/>
              </w:rPr>
              <w:t>据科学与基础学院</w:t>
            </w:r>
          </w:p>
        </w:tc>
        <w:tc>
          <w:tcPr>
            <w:tcW w:w="3024" w:type="dxa"/>
            <w:vAlign w:val="center"/>
          </w:tcPr>
          <w:p w14:paraId="22209A7E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</w:t>
            </w:r>
          </w:p>
        </w:tc>
      </w:tr>
      <w:tr w14:paraId="2191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6C52673F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3024" w:type="dxa"/>
            <w:vAlign w:val="center"/>
          </w:tcPr>
          <w:p w14:paraId="2972AD97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马克思主义学院</w:t>
            </w:r>
          </w:p>
        </w:tc>
        <w:tc>
          <w:tcPr>
            <w:tcW w:w="3024" w:type="dxa"/>
            <w:vAlign w:val="center"/>
          </w:tcPr>
          <w:p w14:paraId="07C6E0E8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</w:t>
            </w:r>
          </w:p>
        </w:tc>
      </w:tr>
      <w:tr w14:paraId="7E22D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30E14D7F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3024" w:type="dxa"/>
            <w:vAlign w:val="center"/>
          </w:tcPr>
          <w:p w14:paraId="55EF1D41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其他教学单位</w:t>
            </w:r>
          </w:p>
        </w:tc>
        <w:tc>
          <w:tcPr>
            <w:tcW w:w="3024" w:type="dxa"/>
            <w:vAlign w:val="center"/>
          </w:tcPr>
          <w:p w14:paraId="1DCAEB0A">
            <w:pPr>
              <w:spacing w:before="40" w:after="4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1-2</w:t>
            </w:r>
          </w:p>
        </w:tc>
      </w:tr>
      <w:tr w14:paraId="0AEF8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4" w:type="dxa"/>
            <w:vAlign w:val="center"/>
          </w:tcPr>
          <w:p w14:paraId="6F3C59CA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—</w:t>
            </w:r>
          </w:p>
        </w:tc>
        <w:tc>
          <w:tcPr>
            <w:tcW w:w="3024" w:type="dxa"/>
            <w:vAlign w:val="center"/>
          </w:tcPr>
          <w:p w14:paraId="3CA59B11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小计</w:t>
            </w:r>
          </w:p>
        </w:tc>
        <w:tc>
          <w:tcPr>
            <w:tcW w:w="3024" w:type="dxa"/>
            <w:vAlign w:val="center"/>
          </w:tcPr>
          <w:p w14:paraId="09253AD1">
            <w:pPr>
              <w:spacing w:before="40" w:after="40"/>
              <w:jc w:val="center"/>
            </w:pPr>
            <w:r>
              <w:rPr>
                <w:rFonts w:ascii="Arial" w:hAnsi="Arial" w:eastAsia="宋体"/>
                <w:b/>
                <w:color w:val="000000"/>
                <w:sz w:val="21"/>
              </w:rPr>
              <w:t>20-21</w:t>
            </w:r>
          </w:p>
        </w:tc>
      </w:tr>
    </w:tbl>
    <w:p w14:paraId="06F8792D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Q5 推荐人选如何产生？</w:t>
      </w:r>
    </w:p>
    <w:p w14:paraId="7D7152AC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答：采取个人申报、群众推荐和民主评议、推荐小组集体讨论相结合的方式确定，各单位对推荐人的政治表现、师德师风严格把关，严禁弄虚作假，确保择优推荐。</w:t>
      </w:r>
    </w:p>
    <w:p w14:paraId="3587AF02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Q6 材料何时提交？</w:t>
      </w:r>
    </w:p>
    <w:p w14:paraId="50FA46F7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答：2026年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10</w:t>
      </w:r>
      <w:r>
        <w:rPr>
          <w:rFonts w:ascii="Arial" w:hAnsi="Arial" w:eastAsia="宋体"/>
          <w:b w:val="0"/>
          <w:color w:val="000000"/>
          <w:sz w:val="24"/>
        </w:rPr>
        <w:t>月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9</w:t>
      </w:r>
      <w:r>
        <w:rPr>
          <w:rFonts w:ascii="Arial" w:hAnsi="Arial" w:eastAsia="宋体"/>
          <w:b w:val="0"/>
          <w:color w:val="000000"/>
          <w:sz w:val="24"/>
        </w:rPr>
        <w:t>日前，各二级单位将推荐材料电子版提交至教务部邮箱。</w:t>
      </w:r>
    </w:p>
    <w:p w14:paraId="6EA7FD69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Q7 需要提交哪些材料？</w:t>
      </w:r>
    </w:p>
    <w:p w14:paraId="57B4B451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答：共四类：推荐名单汇总表；推荐教师申请表；课程教学文档；形象宣传素材。</w:t>
      </w:r>
    </w:p>
    <w:p w14:paraId="405422C0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Q8 申请表填报有什么要求？</w:t>
      </w:r>
    </w:p>
    <w:p w14:paraId="26F0274E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答：材料起止时间为2023年9月1日至2026年9月1日，且有据可查；主持教研、发表论文、获奖等均指以“成都东软学院”名义取得；每项不超过5个；教材提供封面页和版权页，论文提供杂志封面页、版权页及论文。</w:t>
      </w:r>
    </w:p>
    <w:p w14:paraId="569F4B94">
      <w:pPr>
        <w:pStyle w:val="3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三、学校评审</w:t>
      </w:r>
    </w:p>
    <w:p w14:paraId="5A3ED259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Q9 学校评审分哪些环节？</w:t>
      </w:r>
    </w:p>
    <w:p w14:paraId="66D5590E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答：材料审查、网络投票、同行评价、专家评审、现场答辩五个环节。</w:t>
      </w:r>
    </w:p>
    <w:p w14:paraId="24E29CA6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Q10 各环节如何安排？</w:t>
      </w:r>
    </w:p>
    <w:p w14:paraId="1CE185F9">
      <w:pPr>
        <w:spacing w:before="0" w:after="0" w:line="360" w:lineRule="auto"/>
        <w:ind w:firstLine="480" w:firstLineChars="200"/>
        <w:jc w:val="both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 w:val="0"/>
          <w:color w:val="000000"/>
          <w:sz w:val="24"/>
        </w:rPr>
        <w:t>答：①材料审查：2026年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10</w:t>
      </w:r>
      <w:r>
        <w:rPr>
          <w:rFonts w:ascii="Arial" w:hAnsi="Arial" w:eastAsia="宋体"/>
          <w:b w:val="0"/>
          <w:color w:val="000000"/>
          <w:sz w:val="24"/>
        </w:rPr>
        <w:t>月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19</w:t>
      </w:r>
      <w:r>
        <w:rPr>
          <w:rFonts w:ascii="Arial" w:hAnsi="Arial" w:eastAsia="宋体"/>
          <w:b w:val="0"/>
          <w:color w:val="000000"/>
          <w:sz w:val="24"/>
        </w:rPr>
        <w:t>日前确定候选人名单，不符合条件的推荐材料退回、指标作废；</w:t>
      </w:r>
    </w:p>
    <w:p w14:paraId="4172E667">
      <w:pPr>
        <w:spacing w:before="0" w:after="0" w:line="360" w:lineRule="auto"/>
        <w:ind w:firstLine="480" w:firstLineChars="200"/>
        <w:jc w:val="both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 w:val="0"/>
          <w:color w:val="000000"/>
          <w:sz w:val="24"/>
        </w:rPr>
        <w:t>②网络投票：10月至11月，全校师生进入课堂听课，在官方微信平台投票；</w:t>
      </w:r>
    </w:p>
    <w:p w14:paraId="3C2BCA25">
      <w:pPr>
        <w:spacing w:before="0" w:after="0" w:line="360" w:lineRule="auto"/>
        <w:ind w:firstLine="480" w:firstLineChars="200"/>
        <w:jc w:val="both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 w:val="0"/>
          <w:color w:val="000000"/>
          <w:sz w:val="24"/>
        </w:rPr>
        <w:t>③同行评价：结合“教学观摩月”活动，全校教师跨学院听课评价打分；</w:t>
      </w:r>
    </w:p>
    <w:p w14:paraId="6697256F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④专家评审：专家督导进入课堂评审；⑤现场答辩：从教学理念、教学实践、教学成果、反思竞进四个方面答辩。</w:t>
      </w:r>
    </w:p>
    <w:p w14:paraId="7F70494D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Q11 评选结果如何确定？</w:t>
      </w:r>
    </w:p>
    <w:p w14:paraId="051C2970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答：教务部根据网络投票、同行评价、专家评审和现场答辩给出评选结果，经工作领导小组审批并报学校审核后发布。</w:t>
      </w:r>
    </w:p>
    <w:p w14:paraId="01E3C7A2">
      <w:pPr>
        <w:pStyle w:val="3"/>
        <w:spacing w:before="280" w:after="120" w:line="360" w:lineRule="auto"/>
      </w:pPr>
      <w:r>
        <w:rPr>
          <w:rFonts w:ascii="Arial" w:hAnsi="Arial" w:eastAsia="黑体"/>
          <w:b/>
          <w:color w:val="000000"/>
          <w:sz w:val="32"/>
        </w:rPr>
        <w:t>四、奖励与咨询</w:t>
      </w:r>
    </w:p>
    <w:p w14:paraId="352B00CC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Q12 获评有什么奖励？</w:t>
      </w:r>
    </w:p>
    <w:p w14:paraId="3B55C285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答：由学校授予“成都东软学院课堂教学名师”荣誉称号，并在专业技术职务岗位聘任、评优评先等方面予以倾斜。</w:t>
      </w:r>
    </w:p>
    <w:p w14:paraId="37FFF71B">
      <w:pPr>
        <w:spacing w:before="160" w:after="60"/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</w:pPr>
      <w:r>
        <w:rPr>
          <w:rFonts w:hint="eastAsia" w:ascii="Times New Roman" w:hAnsi="Times New Roman" w:eastAsia="黑体"/>
          <w:b/>
          <w:color w:val="0F4C81"/>
          <w:sz w:val="24"/>
          <w:lang w:val="en-US" w:eastAsia="zh-CN"/>
        </w:rPr>
        <w:t>Q13 还有疑问联系谁？</w:t>
      </w:r>
    </w:p>
    <w:p w14:paraId="79C7A8A4">
      <w:pPr>
        <w:spacing w:before="0" w:after="0" w:line="360" w:lineRule="auto"/>
        <w:ind w:firstLine="480" w:firstLineChars="200"/>
        <w:jc w:val="both"/>
      </w:pPr>
      <w:r>
        <w:rPr>
          <w:rFonts w:ascii="Arial" w:hAnsi="Arial" w:eastAsia="宋体"/>
          <w:b w:val="0"/>
          <w:color w:val="000000"/>
          <w:sz w:val="24"/>
        </w:rPr>
        <w:t>答：未尽事宜，联系学校教务部。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2002E">
    <w:pPr>
      <w:pStyle w:val="24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155914"/>
    <w:rsid w:val="17CD4F24"/>
    <w:rsid w:val="1C1D0855"/>
    <w:rsid w:val="3C4372AE"/>
    <w:rsid w:val="55A5358B"/>
    <w:rsid w:val="60631C1E"/>
    <w:rsid w:val="779475AC"/>
    <w:rsid w:val="7EB2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1181</Words>
  <Characters>1265</Characters>
  <Lines>0</Lines>
  <Paragraphs>0</Paragraphs>
  <TotalTime>221</TotalTime>
  <ScaleCrop>false</ScaleCrop>
  <LinksUpToDate>false</LinksUpToDate>
  <CharactersWithSpaces>1278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WPS_1780852308</cp:lastModifiedBy>
  <dcterms:modified xsi:type="dcterms:W3CDTF">2026-09-18T06:34:33Z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eyJoZGlkIjoiZDRkYTA5YzQ1M2NmNjBiMzI1M2UzZGM4MDBlYmUzOWYiLCJ1c2VySWQiOiIxODU2MTM5ODQwIn0=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A1A8EACCA5A040D9AF2608E05623ED19_12</vt:lpwstr>
  </property>
</Properties>
</file>