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0F" w:rsidRDefault="00C1170F" w:rsidP="00C1170F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>
        <w:rPr>
          <w:rFonts w:hint="eastAsia"/>
          <w:b/>
          <w:bCs/>
          <w:color w:val="333399"/>
        </w:rPr>
        <w:t>教育部 财政部 国家发展改革委印发《关于高等学校加快“双一流”建设的指导意见》的通知</w:t>
      </w:r>
      <w:r>
        <w:rPr>
          <w:rFonts w:hint="eastAsia"/>
          <w:color w:val="333399"/>
        </w:rPr>
        <w:br/>
      </w:r>
      <w:r>
        <w:rPr>
          <w:rFonts w:ascii="楷体" w:eastAsia="楷体" w:hAnsi="楷体" w:hint="eastAsia"/>
          <w:color w:val="333399"/>
        </w:rPr>
        <w:t>教研〔2018〕5号</w:t>
      </w:r>
      <w:bookmarkStart w:id="0" w:name="_GoBack"/>
      <w:bookmarkEnd w:id="0"/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rPr>
          <w:rFonts w:hint="eastAsia"/>
          <w:color w:val="333333"/>
        </w:rPr>
      </w:pPr>
      <w:r>
        <w:rPr>
          <w:rFonts w:hint="eastAsia"/>
          <w:color w:val="333333"/>
        </w:rPr>
        <w:t>各省、自治区、直辖市教育厅（教委）、财政厅（局）、发展改革委，新疆生产建设兵团教育局、财务局、发展改革委，有关部门（单位）教育司（局），有关高等学校：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为贯彻落实党的十九大精神，加快“双一流”建设，根据国务院印发的《统筹推进世界一流大学和一流学科建设总体方案》和教育部、财政部、国家发展改革委联合印发的《统筹推进世界一流大学和一流学科建设实施办法（暂行）》，教育部、财政部、国家发展改革委制定了《关于高等学校加快“双一流”建设的指导意见》，现予以印发。</w:t>
      </w:r>
    </w:p>
    <w:p w:rsidR="00C1170F" w:rsidRDefault="00C1170F" w:rsidP="00C1170F">
      <w:pPr>
        <w:pStyle w:val="a5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333333"/>
        </w:rPr>
      </w:pPr>
      <w:r>
        <w:rPr>
          <w:rFonts w:hint="eastAsia"/>
          <w:color w:val="333333"/>
        </w:rPr>
        <w:t>教育部 财政部 国家发展改革委</w:t>
      </w:r>
      <w:r>
        <w:rPr>
          <w:rFonts w:hint="eastAsia"/>
          <w:color w:val="333333"/>
        </w:rPr>
        <w:br/>
        <w:t>2018年8月8日      </w:t>
      </w:r>
    </w:p>
    <w:p w:rsidR="00C1170F" w:rsidRDefault="00C1170F" w:rsidP="00C1170F">
      <w:pPr>
        <w:pStyle w:val="a5"/>
        <w:shd w:val="clear" w:color="auto" w:fill="FFFFFF"/>
        <w:spacing w:before="0" w:beforeAutospacing="0" w:after="0" w:afterAutospacing="0"/>
        <w:jc w:val="center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关于高等学校加快“双一流”建设的指导意见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为深入贯彻落实党的十九大精神，加快一流大学和一流学科建设，实现高等教育内涵式发展，全面提高人才培养能力，提升我国高等教育整体水平，根据《统筹推进世界一流大学和一流学科建设总体方案》和《统筹推进世界一流大学和一流学科建设实施办法（暂行）》，制定本意见。</w:t>
      </w:r>
    </w:p>
    <w:p w:rsidR="00C1170F" w:rsidRDefault="00C1170F" w:rsidP="00C1170F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一、总体要求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（一）指导思想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以习近平新时代中国特色社会主义思想为指导，深入贯彻落实党的十九大精神，紧紧围绕统筹推进“五位一体”总体布局和协调推进“四个全面”战略布局，全面贯彻落实党的教育方针，以中国特色世界一流为核心，以高等教育内涵式发展为主线，落实立德树人根本任务，紧紧抓住坚持办学正确政治方向、建设高素质教师队伍和形成高水平人才培养体系三项基础性工作，以体制机制创新为着力点，全面加强党的领导，调动各种积极因素，在深化改革、服务需求、开放合作中加快发展，努力建成一批中国特色社会主义标杆大学，确保实现“双一流”建设总体方案确定的战略目标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（二）基本原则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坚持特色一流。扎根中国大地，服务国家重大战略需求，传承创新优秀文化，积极主动融入改革开放、现代化建设和民族复兴伟大进程，体现优势特色，提升发展水平，办人民满意的教育。瞄准世界一流，吸收世界上先进的办学治学经验，遵循教育教学规律，积极参与国际合作交流，有效扩大国际影响，实现跨越发展、超越引领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坚持内涵发展。创新办学理念，转变发展模式，以多层次多类型一流人才培养为根本，以学科为基础，更加注重结构布局优化协调，更加注重人才培养模式创新，更加注重资源的有效集成和配置，统筹近期目标与长远规划，实现以质量为核心的可持续发展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坚持改革驱动。全面深化改革，注重体制机制创新，充分激发各类人才积极性主动性创造性和高校内生动力，加快构建充满活力、富有效率、更加开放、动态竞争的体制机制。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坚持高校主体。明确高校主体责任，对接需求，统筹学校整体建设和学科建设，主动作为，充分发掘集聚各方面积极因素，加强多方协同，确保各项建设与改革任务落地见效。</w:t>
      </w:r>
    </w:p>
    <w:p w:rsidR="00C1170F" w:rsidRDefault="00C1170F" w:rsidP="00C1170F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二、落实根本任务，培养社会主义建设者和接班人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（三）坚持中国特色社会主义办学方向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建设中国特色世界一流大学必须坚持办学正确政治方向。坚持和加强党的全面领导，牢固树立“四个意识”，坚定“四个自信”，把“四个自信”转化为办好中国特色世界一流大学的自信和动力。</w:t>
      </w:r>
      <w:proofErr w:type="gramStart"/>
      <w:r>
        <w:rPr>
          <w:rFonts w:hint="eastAsia"/>
          <w:color w:val="333333"/>
        </w:rPr>
        <w:t>践行</w:t>
      </w:r>
      <w:proofErr w:type="gramEnd"/>
      <w:r>
        <w:rPr>
          <w:rFonts w:hint="eastAsia"/>
          <w:color w:val="333333"/>
        </w:rPr>
        <w:t>“四个服务”，立足中国实践、解决中国问题，为国家发展、人民福祉做贡献。高校党委要把政治建设摆在首位，深入实施基层党建质量</w:t>
      </w:r>
      <w:proofErr w:type="gramStart"/>
      <w:r>
        <w:rPr>
          <w:rFonts w:hint="eastAsia"/>
          <w:color w:val="333333"/>
        </w:rPr>
        <w:t>提升攻坚</w:t>
      </w:r>
      <w:proofErr w:type="gramEnd"/>
      <w:r>
        <w:rPr>
          <w:rFonts w:hint="eastAsia"/>
          <w:color w:val="333333"/>
        </w:rPr>
        <w:t>行动，全面推进高校党组织“对标争先”建设计划和教师党支部书记“双带头人”培育工程，加强教师党支部、学生党支部建设，巩固马克思主义在高校意识形态领域的指导地位，切实履行好管党治党、办学治校主体责任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（四）引导学生成长成才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育人为本，德育为先，着力培养一大批德智体美全面发展的社会主义建设者和接班人。深入研究学生的新特点新变化新需求，大力加强理想信念教育和国情教育，抓好马克思主义理论教育，</w:t>
      </w:r>
      <w:proofErr w:type="gramStart"/>
      <w:r>
        <w:rPr>
          <w:rFonts w:hint="eastAsia"/>
          <w:color w:val="333333"/>
        </w:rPr>
        <w:t>践行</w:t>
      </w:r>
      <w:proofErr w:type="gramEnd"/>
      <w:r>
        <w:rPr>
          <w:rFonts w:hint="eastAsia"/>
          <w:color w:val="333333"/>
        </w:rPr>
        <w:t>社会主义核心价值观，坚持不懈推进习近平新时代中国特色社会主义思想进教材、进课堂、进学生头脑，使党的创新理论全面融入高校思想政治工作。深入实施高校思想政治工作质量提升工程，深化“三全育人”综合改革，实现全员全过程全方位育人；实施普通高校思想政治理论课建设体系创新计划，大力推动以“思政课+课程思政”为目标的课堂教学改革，使各类课程、资源、力量与思想政治理论课同向同行，形成协同效应。发挥哲学社会科学育人优势，加强人文关怀和心理引导。实施高校体育固本工程和美育提升工程，提高学生体质健康水平和艺术审美素养。鼓励学生参与教学改革和创新实践，改革学习评价制度，激励学生自主学习、奋发学习、全面发展。做好学生就业创业工作，鼓励学生到基层一线发光发热，在服务国家发展战略中大显身手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（五）形成高水平人才培养体系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把立德树人的成效作为检验学校一切工作的根本标准，一体化构建课程、科研、实践、文化、网络、心理、管理、服务、资助、组织等育人体系，把思想政治工作贯穿教育教学全过程、贯通人才培养全体系。突出特色优势，完善切合办学定位、互相支撑发展的学科体系，充分发挥学科育人功能；突出质量水平，建立知识结构完备、方式方法先进的教学体系，推动信息技术、智能技术与教育教学深度融合，构建“互联网+”条件下的人才培养新模式，推进信息化实践教学，充分利用现代信息技术实现优质教学资源开放共享，全面提升师生信息素养；突出价值导向，建立思想性、科学性和时代性相统一的教材体系，加快建设教材建设研究基地，把教材建设作为学科建设的重要内容和考核指标，完善教材编写审</w:t>
      </w:r>
      <w:r>
        <w:rPr>
          <w:rFonts w:hint="eastAsia"/>
          <w:color w:val="333333"/>
        </w:rPr>
        <w:lastRenderedPageBreak/>
        <w:t>查、遴选使用、质量监控和评价机制，建立优秀教材编写激励保障机制，努力编写出版具有世界影响的一流教材；突出服务效能，创新以人为本、责权明确的管理体系；健全分流退出机制和学生权益保护制度，完善有利于激励学习、公平公正的学生奖助体系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（六）培养拔尖创新人才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深化教育教学改革，提高人才培养质量。率先确立建成一流本科教育目标，强化本科教育基础地位，把一流本科教育建设作为“双一流”建设的基础任务，加快实施“六卓越</w:t>
      </w:r>
      <w:proofErr w:type="gramStart"/>
      <w:r>
        <w:rPr>
          <w:rFonts w:hint="eastAsia"/>
          <w:color w:val="333333"/>
        </w:rPr>
        <w:t>一</w:t>
      </w:r>
      <w:proofErr w:type="gramEnd"/>
      <w:r>
        <w:rPr>
          <w:rFonts w:hint="eastAsia"/>
          <w:color w:val="333333"/>
        </w:rPr>
        <w:t>拔尖” 人才培养计划2.0，建成一批一流本科专业；深化研究生教育综合改革，进一步明确不同学位层次的培养要求，改革培养方式，加快建立科教融合、产学结合的研究生培养机制，着力改进研究生培养体系，提升研究生创新能力。深化和扩大专业学位教育改革，强化研究生实践能力，培养高层次应用型人才。大力培养高精尖急缺人才，多方集成教育资源，制定跨学科人才培养方案，探索建立政治过硬、行业急需、能力突出的高层次复合型人才培养新机制。推进课程改革，加强不同培养阶段课程和教学的一体化设计，坚持因材施教、循序渐进、教学相长，将创新创业能力和实践能力培养融入课程体系。</w:t>
      </w:r>
    </w:p>
    <w:p w:rsidR="00C1170F" w:rsidRDefault="00C1170F" w:rsidP="00C1170F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三、全面深化改革，探索一流大学建设之路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（七）增强服务重大战略需求能力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需求是推动建设的源动力。加强对各类需求的针对性研究、科学性预测和系统性把握，主动对接国家和区域重大战略，加强各类教育形式、各类专项计划统筹管理，优化学科专业结构，完善以社会需求和学术贡献为导向的学科专业动态调整机制。推进高层次人才供给侧结构性改革，优化不同层次学生的培养结构，适应需求调整培养规模与培养目标，适度扩大博士研究生规模，加快发展博士专业学位研究生教育；加强国家战略、国家安全、国际组织等相关急需学科专业人才的培养，超前培养和储备哲学社会科学特别是马克思主义理论、传承中华优秀传统文化等相关人才。进一步完善以提高招生选拔质量为核心、科学公正的研究生招生选拔机制。建立面向服务需求的资源集成调配机制，充分发挥各类资源的集聚效应和放大效应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（八）优化学科布局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构建协调可持续发展的学科体系。立足学校办学定位和学科发展规律，打破传统学科之间的壁垒，以“双一流”建设学科为核心，以优势特色学科为主体，以相关学科为支撑，整合相关传统学科资源，促进基础学科、应用学科交叉融合，在前沿和交叉学科领域培植新的学科生长点。与国家和区域发展战略需求紧密衔接，加快建设对接区域传统优势产业，以及先进制造、生态环保等战略型新兴产业发展的学科。加强马克思主义学科建设，加快完善具有支撑作用的学科，突出优势、拓展领域、补齐短板，努力构建全方位、全领域、全要素的中国特色哲学社会科学体系。优化学术学位和专业学位类别授权点布局，处理好交叉学科与传统学科的关系，完善学科新增与退出机制，学科的调整或撤销不应违背学校和学科发展规律，力戒盲目跟风简单化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（九）建设高素质教师队伍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lastRenderedPageBreak/>
        <w:t>人才培养，关键在教师。加强师德师风建设，严把选聘考核晋升思想政治素质关，将师德师风作为评价教师队伍素质的第一标准，打造有理想信念、道德情操、扎实学识、仁爱之心的教师队伍，建成师德师风高地。</w:t>
      </w:r>
      <w:proofErr w:type="gramStart"/>
      <w:r>
        <w:rPr>
          <w:rFonts w:hint="eastAsia"/>
          <w:color w:val="333333"/>
        </w:rPr>
        <w:t>坚持引育并举</w:t>
      </w:r>
      <w:proofErr w:type="gramEnd"/>
      <w:r>
        <w:rPr>
          <w:rFonts w:hint="eastAsia"/>
          <w:color w:val="333333"/>
        </w:rPr>
        <w:t>、以育为主，建立健全青年人才蓬勃生长的机制，精准引进活跃于国际学术前沿的海外高层次人才，坚决杜绝片面抢挖“帽子”人才等短期行为。改革编制及岗位管理制度，突出教学一线需求，加大教师教学岗位激励力度。建立建强校级教师发展中心，提升教师教学能力，促进高校教师职业发展，加强职前培养、入职培训和在职研修，完善访问学者制度，探索建立专任教师学术休假制度，支持高校教师参加国际化培训项目、国际交流和科研合作。支持高校教师参与基础教育教学改革、教材建设等工作。深入推进高校教师职称评审制度、考核评价制度改革，建立健全教授为本科生上课制度，</w:t>
      </w:r>
      <w:proofErr w:type="gramStart"/>
      <w:r>
        <w:rPr>
          <w:rFonts w:hint="eastAsia"/>
          <w:color w:val="333333"/>
        </w:rPr>
        <w:t>不</w:t>
      </w:r>
      <w:proofErr w:type="gramEnd"/>
      <w:r>
        <w:rPr>
          <w:rFonts w:hint="eastAsia"/>
          <w:color w:val="333333"/>
        </w:rPr>
        <w:t>唯头衔、资历、论文作为评价依据，突出学术贡献和影响力，激发教师积极性和创造性。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（十）提升科学研究水平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突出一流科研对一流大学建设的支撑作用。充分发挥高校基础研究主力军作用，实施高等学校基础研究珠峰计划，建设一批前沿科学中心，牵头或参与国家科技创新基地、国家重大科技基础设施、哲学社会科学平台建设，促进基础研究和应用研究融通创新、全面发展、重点突破。加强协同创新，发挥高校、科研院所、企业等主体在人才、资本、市场、管理等方面的优势，加大技术创新、成果转化和技术转移力度；围绕关键核心技术和前沿共性问题，完善成果转化管理体系和运营机制，探索建立专业化技术转移机构及新型研发机构，促进创新链和产业链精准对接。主动融入区域发展、军民融合体系，推进军民科技成果双向转移转化，提升对地方经济社会和国防建设的贡献度。推进中国特色哲学社会科学发展，从我国改革发展的实践中挖掘新材料、发现新问题、提出新观点、构建新理论，打造高水平的新型高端智库。探索以代表性成果和原创性贡献为主要内容的科研评价，完善同行专家评价机制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（十一）深化国际合作交流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大力推进高水平实质性国际合作交流，成为世界高等教育改革的参与者、推动者和引领者。加强与国外高水平大学、顶尖科研机构的实质性学术交流与科研合作，建立国际合作联合实验室、研究中心等；推动中外优质教育模式互学互鉴，以我为主创新联合办学体制机制，加大校际访问学者和学生交流互换力度。以“一带一路”倡议为引领，加大双语种或多语种复合型国际化专业人才培养力度。进一步完善国际学生招收、培养、管理、服务的制度体系，不断优化生源结构，提高生源质量。积极参与共建“一带一路”教育行动和中外人文交流项目，在推进孔子学院建设中，进一步发挥建设高校的主体作用。选派优秀学生、青年教师、学术带头人等赴国外高水平大学、机构访学交流，积极推动优秀研究生公派留学，加大高校优秀毕业生到国际组织实习任职的支持力度，积极推荐高校优秀人才在国际组织、学术机构、国际期刊任职兼职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（十二）加强大学文化建设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培育理念先进、特色鲜明、中国智慧的大学文化，成为大学生命力、竞争力重要源泉。立足办学传统和现实定位，以社会主义核心价值观为引领，推动中华</w:t>
      </w:r>
      <w:r>
        <w:rPr>
          <w:rFonts w:hint="eastAsia"/>
          <w:color w:val="333333"/>
        </w:rPr>
        <w:lastRenderedPageBreak/>
        <w:t>优秀教育文化的创造性转化和创新性发展，构建具有时代精神、风格鲜明的中国特色大学文化。加强校风教风学风和学术道德建设，深入开展高雅艺术进校园、大学生艺术展演、中华优秀传统文化传承基地建设，营造全方位育人文化。塑造追求卓越、鼓励创新的文化品格，弘扬勇于开拓、求真务实的学术精神，形成中外互鉴、开放包容的文化气质。坚定对发展知识、追求真理、造福人类的责任感使命感，在对口支援、精准扶贫、合建共建等行动中，勇于担当、主动作为，发挥带动作用。传播科学理性与人文情怀，承担引领时代风气和社会未来、促进人类社会发展进步的使命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（十三）完善中国特色现代大学制度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以制度建设保障高校整体提升。坚持和完善党委领导下的校长负责制，健全完善各项规章制度，贯彻落实大学章程，规范高校内部治理体系，推进管理重心下移，强化依法治校；创新基层教学科研组织和学术管理模式，完善学术治理体系，保障教学、学术委员会在人才培养和学术事务中有效发挥作用；建立和完善学校理事会制度，进一步完善社会支持和参与学校发展的组织形式和制度平台。充分利用云计算、大数据、人工智能等新技术，构建全方位、全过程、全天候的数字校园支撑体系，提升教育教学管理能力。</w:t>
      </w:r>
    </w:p>
    <w:p w:rsidR="00C1170F" w:rsidRDefault="00C1170F" w:rsidP="00C1170F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四、强化内涵建设，打造一流学科高峰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（十四）明确学科建设内涵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学科建设要明确学术方向和回应社会需求，坚持人才培养、学术团队、科研创新“三位一体”。围绕国家战略需求和国际学术前沿，遵循学科发展规律，找准特色优势，着力凝练学科方向、增强问题意识、汇聚高水平人才队伍、搭建学科发展平台，重点建设一批一流学科。以一流学科为引领，辐射带动学科整体水平提升，形成重点明确、层次清晰、结构协调、互为支撑的学科体系，支持大学建设水平整体提升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（十五）突出学科优势与特色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学科建设的重点在于尊重规律、构建体系、强化优势、突出特色。国内领先、国际前沿高水平的学科，加快培育国际领军人才和团队，实现重大突破，抢占未来制高点，率先冲击和引领世界一流；国内前列、有一定国际影响力的学科，围绕主干领域方向，强化特色，扩大优势，打造新的学科高峰，加快进入世界一流行列。在中国特色的领域、方向，立足解决重大理论、实践问题，积极打造具有中国特色中国风格中国气派的一流学科和一流教材，加快构建中国特色哲学社会科学学科体系、学术体系、话语体系、教材体系，不断提升国际影响力和话语权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（十六）拓展学科育人功能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以学科建设为载体，加强科研实践和创新创业教育，培养一流人才。强化科研育人，结合国家重点、重大科技计划任务，建立科教融合、相互促进的协同培养机制，促进知识学习与科学研究、能力培养的有机结合。学科建设要以人才培养为中心，支撑引领专业建设，推进实践育人，积极构建面向实践、突出应用的实践实习教学体系，拓展实践实习基地的数量、类型和层次，完善实践实习的质</w:t>
      </w:r>
      <w:r>
        <w:rPr>
          <w:rFonts w:hint="eastAsia"/>
          <w:color w:val="333333"/>
        </w:rPr>
        <w:lastRenderedPageBreak/>
        <w:t>量监控与评价机制。加强创新创业教育，促进专业教育与创新创业教育有机融合，探索跨院系、跨学科、跨专业交叉培养创新创业人才机制，依托大学科技园、协同创新中心和工程研究中心等，搭建创新创业平台，鼓励师生共同开展高质量创新创业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（十七）打造高水平学科团队和梯队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汇聚拔尖人才，激发团队活力。完善开放灵活的人才培育、吸引和使用机制，着眼长远，构建以学科带头人为领军、以杰出人才为骨干、以优秀青年人才为支撑，衔接有序、结构合理的人才团队和梯队，注重培养团队精神，加强团队合作。充分发挥学科带头人凝练方向、引领发展的重要作用，既看重学术造诣，也看重道德品质，既注重前沿方向把握，也关注组织能力建设，保障学科带头人的人财物支配权。加大对青年教师教学科研的稳定支持力度，着力把中青年学术骨干推向国际学术前沿和国家战略前沿，承担重大项目、参与重大任务，加强博士后等青年骨干力量培养；建立稳定的高水平实验技术、工程技术、实践指导和管理服务人才队伍，重视和培养学生作为科研生力军。以解决重大科研问题与合作机制为重点，对科研团队实行整体性评价，形成与贡献匹配的评价激励体系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（十八）增强学科创新能力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学术探索与服务国家需求紧密融合，着力提高关键领域原始创新、自主创新能力和建设性社会影响。围绕国家和区域发展战略，凝练提出学科重大发展问题，加强对关键共性技术、前沿引领技术、现代工程技术、颠覆性技术、重大理论和实践问题的有组织攻关创新，实现前瞻性基础研究、引领性原创成果和建设性社会影响的重大突破。加强重大科技项目的培育和组织，积极承担国家重点、重大科技计划任务，在国家和地方重大科技攻关项目中发挥积极作用。积极参与、牵头国际大科学计划和大科学工程，研究和解决全球性、区域性重大问题，在更多前沿领域引领科学方向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（十九）创新学科组织模式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聚焦建设学科，加强学科协同交叉融合。整合各类资源，加大对原创性、系统性、引领性研究的支持。围绕重大项目和重大研究问题组建学科群，主干学科引领发展方向，发挥凝聚辐射作用，各学科紧密联系、协同创新，避免简单地“搞平衡、铺摊子、拉郎配”。瞄准国家重大战略和学科前沿发展方向，以服务需求为目标，以问题为导向，以科研联合攻关为牵引，以创新人才培养模式为重点，依托科技创新平台、研究中心等，整合多学科人才团队资源，着重围绕大物理科学、大社会科学为代表的基础学科，生命科学为代表的前沿学科，信息科学为代表的应用学科，组建交叉学科，促进哲学社会科学、自然科学、工程技术之间的交叉融合。鼓励组建学科联盟，搭建国际交流平台，发挥引领带动作用。</w:t>
      </w:r>
    </w:p>
    <w:p w:rsidR="00C1170F" w:rsidRDefault="00C1170F" w:rsidP="00C1170F">
      <w:pPr>
        <w:pStyle w:val="a5"/>
        <w:shd w:val="clear" w:color="auto" w:fill="FFFFFF"/>
        <w:spacing w:before="0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b/>
          <w:bCs/>
          <w:color w:val="333333"/>
        </w:rPr>
        <w:t>五、加强协同，形成“双一流”建设合力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（二十）健全高校“双一流”建设管理制度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明确并落实高校在“双一流”建设中的主体责任，增强建设的责任感和使命感。充分发挥高校党委在“双一流”建设全程的领导核心作用，推动重大安排部</w:t>
      </w:r>
      <w:r>
        <w:rPr>
          <w:rFonts w:hint="eastAsia"/>
          <w:color w:val="333333"/>
        </w:rPr>
        <w:lastRenderedPageBreak/>
        <w:t>署的科学决策、民主决策和依法决策，确保“双一流”建设方案全面落地。健全高校“双一流”建设管理机构，创新管理体制与运行机制，</w:t>
      </w:r>
      <w:proofErr w:type="gramStart"/>
      <w:r>
        <w:rPr>
          <w:rFonts w:hint="eastAsia"/>
          <w:color w:val="333333"/>
        </w:rPr>
        <w:t>完善部门</w:t>
      </w:r>
      <w:proofErr w:type="gramEnd"/>
      <w:r>
        <w:rPr>
          <w:rFonts w:hint="eastAsia"/>
          <w:color w:val="333333"/>
        </w:rPr>
        <w:t>分工负责、全员协同参与的责任体系，建立内部监测评价制度，按年度发布建设进展报告，加强督导考核，避免简单化层层分解、机械分派任务指标。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（二十一）增强高校改革创新自觉性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改革创新是高校持续发展的不竭动力。建设高校要积极主动深化改革，发挥教育改革排头兵的引领示范作用，以改革增添动力，以创新彰显特色。全面深化高校综合改革，着力加大思想政治教育、人才培养模式、人事制度、科研体制机制、资源募集调配机制等关键领域环节的改革力度，重点突破，探索形成符合教育规律、可复制可推广的经验做法。增强高校外部体制机制改革协同与政策协调，加快形成高校改革创新成效评价机制，完善社会参与改革、支持改革的合作机制，促进优质资源共享，为高校创新驱动发展营造良好的外部环境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（二十二）加大地方区域统筹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将“双一流”建设纳入区域重大战略，结合区域内科创中心建设等重大工程、重大计划，主动明确对高校提出需求，形成“双一流”建设与其他重大工程互相支撑、协同推进的格局，更好服务地方经济社会发展。地方政府通过多种方式，对建设高校在资金、政策、资源等方面给予支持。切实落实“放管服”要求，积极推动本地区高水平大学和优势特色学科建设，引导“双一流”建设高校和本地区高水平大学相互促进、共同发展，构建协调发展、有序衔接的建设体系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（二十三）加强引导指导督导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强化政策支持和资金投入引导。适度扩大高校自主设置学科权限，完善多元化研究生招生选拔机制，适度提高优秀应届本科毕业生直接攻读博士学位的比例。建立健全高等教育招生计划动态调整机制，实施国家急需学科高层次人才培养支持计划，探索研究生招生计划与国家重大科研任务、重点科技创新基地等相衔接的新路径。继续做好经费保障工作，全面实施预算绩效管理，建立符合高等教育规律和管理需要的绩效管理机制，增强建设高校资金统筹权，在现有财政拨款制度基础上完善研究生教育投入机制。建设高校要建立多元筹资机制，统筹自主资金和其他可由高校按规定自主使用的资金等，共同支持“双一流”建设。完善政府、社会、高校相结合的共建机制，形成多元化投入、合力支持的格局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强化建设过程的指导督导。履行政府部门指导职责，充分发挥“双一流”建设专家委员会咨询作用，支持学科评议组、教育教学指导委员会、教育部科学技术委员会等各类专家组织开展建设评价、诊断、督导，促进学科发展和学校建设。推进“双一流”建设督导制度化常态化长效化。按建设周期跟踪评估建设进展情况，建设</w:t>
      </w:r>
      <w:proofErr w:type="gramStart"/>
      <w:r>
        <w:rPr>
          <w:rFonts w:hint="eastAsia"/>
          <w:color w:val="333333"/>
        </w:rPr>
        <w:t>期末对</w:t>
      </w:r>
      <w:proofErr w:type="gramEnd"/>
      <w:r>
        <w:rPr>
          <w:rFonts w:hint="eastAsia"/>
          <w:color w:val="333333"/>
        </w:rPr>
        <w:t>建设成效进行整体评价。根据建设进展和评价情况，动态调整支持力度和建设范围。推动地方落实对“双一流”建设的政策支持和资源投入。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（二十四）完善评价和建设协调机制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坚持多元综合性评价。以立德</w:t>
      </w:r>
      <w:proofErr w:type="gramStart"/>
      <w:r>
        <w:rPr>
          <w:rFonts w:hint="eastAsia"/>
          <w:color w:val="333333"/>
        </w:rPr>
        <w:t>树人成效</w:t>
      </w:r>
      <w:proofErr w:type="gramEnd"/>
      <w:r>
        <w:rPr>
          <w:rFonts w:hint="eastAsia"/>
          <w:color w:val="333333"/>
        </w:rPr>
        <w:t>作为根本标准，探索建立中国特色“双一流”建设的综合评价体系，以人才培养、创新能力、服务贡献和影响力为核心</w:t>
      </w:r>
      <w:r>
        <w:rPr>
          <w:rFonts w:hint="eastAsia"/>
          <w:color w:val="333333"/>
        </w:rPr>
        <w:lastRenderedPageBreak/>
        <w:t>要素，把一流本科教育作为重要内容，定性和定量、主观和客观相结合，学科专业建设与学校整体建设评价并行，重点考察建设效果与总体方案的符合度、建设方案主要目标的达成度、建设高校及其学科专业在第三方评价中的表现度。鼓励第三方独立开展建设过程及建设成效的监测评价。积极探索中国特色现代高等教育评估制度。</w:t>
      </w:r>
    </w:p>
    <w:p w:rsidR="00C1170F" w:rsidRDefault="00C1170F" w:rsidP="00C1170F">
      <w:pPr>
        <w:pStyle w:val="a5"/>
        <w:shd w:val="clear" w:color="auto" w:fill="FFFFFF"/>
        <w:spacing w:before="225" w:beforeAutospacing="0" w:after="0" w:afterAutospacing="0"/>
        <w:ind w:firstLine="480"/>
        <w:rPr>
          <w:rFonts w:hint="eastAsia"/>
          <w:color w:val="333333"/>
        </w:rPr>
      </w:pPr>
      <w:r>
        <w:rPr>
          <w:rFonts w:hint="eastAsia"/>
          <w:color w:val="333333"/>
        </w:rPr>
        <w:t>健全协调机制。建立健全“双一流”建设部</w:t>
      </w:r>
      <w:proofErr w:type="gramStart"/>
      <w:r>
        <w:rPr>
          <w:rFonts w:hint="eastAsia"/>
          <w:color w:val="333333"/>
        </w:rPr>
        <w:t>际协调</w:t>
      </w:r>
      <w:proofErr w:type="gramEnd"/>
      <w:r>
        <w:rPr>
          <w:rFonts w:hint="eastAsia"/>
          <w:color w:val="333333"/>
        </w:rPr>
        <w:t>工作机制，创新省部共建合建机制，统筹推进“双一流”建设与地方高水平大学建设，实现政策协同、分工协同、落实协同、效果协同。</w:t>
      </w:r>
    </w:p>
    <w:p w:rsidR="00702454" w:rsidRPr="00C1170F" w:rsidRDefault="00702454"/>
    <w:sectPr w:rsidR="00702454" w:rsidRPr="00C11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74" w:rsidRDefault="002F3774" w:rsidP="00C1170F">
      <w:r>
        <w:separator/>
      </w:r>
    </w:p>
  </w:endnote>
  <w:endnote w:type="continuationSeparator" w:id="0">
    <w:p w:rsidR="002F3774" w:rsidRDefault="002F3774" w:rsidP="00C1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74" w:rsidRDefault="002F3774" w:rsidP="00C1170F">
      <w:r>
        <w:separator/>
      </w:r>
    </w:p>
  </w:footnote>
  <w:footnote w:type="continuationSeparator" w:id="0">
    <w:p w:rsidR="002F3774" w:rsidRDefault="002F3774" w:rsidP="00C1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462"/>
    <w:rsid w:val="00004CF7"/>
    <w:rsid w:val="00005FCF"/>
    <w:rsid w:val="0000691C"/>
    <w:rsid w:val="00007D1F"/>
    <w:rsid w:val="00011EA1"/>
    <w:rsid w:val="00014239"/>
    <w:rsid w:val="000147DF"/>
    <w:rsid w:val="00015657"/>
    <w:rsid w:val="00022BC2"/>
    <w:rsid w:val="00022FF5"/>
    <w:rsid w:val="0002516B"/>
    <w:rsid w:val="000301DD"/>
    <w:rsid w:val="0003159C"/>
    <w:rsid w:val="0003630D"/>
    <w:rsid w:val="00042162"/>
    <w:rsid w:val="00043D70"/>
    <w:rsid w:val="000476BB"/>
    <w:rsid w:val="00050A9F"/>
    <w:rsid w:val="000532DA"/>
    <w:rsid w:val="00053FFB"/>
    <w:rsid w:val="000548A7"/>
    <w:rsid w:val="00054B97"/>
    <w:rsid w:val="000559B0"/>
    <w:rsid w:val="00056AD4"/>
    <w:rsid w:val="00063CBC"/>
    <w:rsid w:val="000650FD"/>
    <w:rsid w:val="000659E9"/>
    <w:rsid w:val="00067F04"/>
    <w:rsid w:val="00073679"/>
    <w:rsid w:val="00082BD1"/>
    <w:rsid w:val="00087602"/>
    <w:rsid w:val="000A0793"/>
    <w:rsid w:val="000B1153"/>
    <w:rsid w:val="000B48BD"/>
    <w:rsid w:val="000B517A"/>
    <w:rsid w:val="000B5AEC"/>
    <w:rsid w:val="000B6E43"/>
    <w:rsid w:val="000C0CD7"/>
    <w:rsid w:val="000C1B2F"/>
    <w:rsid w:val="000C2C0B"/>
    <w:rsid w:val="000C52F1"/>
    <w:rsid w:val="000C6670"/>
    <w:rsid w:val="000C6F34"/>
    <w:rsid w:val="000D05DD"/>
    <w:rsid w:val="000D0F40"/>
    <w:rsid w:val="000E3E09"/>
    <w:rsid w:val="000E3EEF"/>
    <w:rsid w:val="000E5DBC"/>
    <w:rsid w:val="000E6334"/>
    <w:rsid w:val="00103446"/>
    <w:rsid w:val="00107674"/>
    <w:rsid w:val="001077A1"/>
    <w:rsid w:val="00113739"/>
    <w:rsid w:val="001143F0"/>
    <w:rsid w:val="001152EF"/>
    <w:rsid w:val="00116973"/>
    <w:rsid w:val="00116E61"/>
    <w:rsid w:val="00117593"/>
    <w:rsid w:val="00120412"/>
    <w:rsid w:val="00121743"/>
    <w:rsid w:val="001247E6"/>
    <w:rsid w:val="0012588F"/>
    <w:rsid w:val="00125A1A"/>
    <w:rsid w:val="00131490"/>
    <w:rsid w:val="0013776B"/>
    <w:rsid w:val="00137D8B"/>
    <w:rsid w:val="00142F1D"/>
    <w:rsid w:val="00151005"/>
    <w:rsid w:val="00151DF6"/>
    <w:rsid w:val="00155573"/>
    <w:rsid w:val="00155E23"/>
    <w:rsid w:val="00156A54"/>
    <w:rsid w:val="00164B37"/>
    <w:rsid w:val="00164F7B"/>
    <w:rsid w:val="00167518"/>
    <w:rsid w:val="00172EA7"/>
    <w:rsid w:val="00173183"/>
    <w:rsid w:val="001867F1"/>
    <w:rsid w:val="00187D85"/>
    <w:rsid w:val="001936F2"/>
    <w:rsid w:val="001A3C5B"/>
    <w:rsid w:val="001A55FA"/>
    <w:rsid w:val="001C5884"/>
    <w:rsid w:val="001C5E9F"/>
    <w:rsid w:val="001D0A47"/>
    <w:rsid w:val="001D1138"/>
    <w:rsid w:val="001D737F"/>
    <w:rsid w:val="001D7F54"/>
    <w:rsid w:val="001E027D"/>
    <w:rsid w:val="001E174F"/>
    <w:rsid w:val="001E4981"/>
    <w:rsid w:val="001E6D80"/>
    <w:rsid w:val="001F00BD"/>
    <w:rsid w:val="001F170B"/>
    <w:rsid w:val="001F4491"/>
    <w:rsid w:val="001F5BD7"/>
    <w:rsid w:val="001F6574"/>
    <w:rsid w:val="00205BDB"/>
    <w:rsid w:val="00210A8B"/>
    <w:rsid w:val="00217380"/>
    <w:rsid w:val="00217670"/>
    <w:rsid w:val="00220721"/>
    <w:rsid w:val="00223B00"/>
    <w:rsid w:val="00223BBE"/>
    <w:rsid w:val="00224246"/>
    <w:rsid w:val="002312F0"/>
    <w:rsid w:val="002321C2"/>
    <w:rsid w:val="00232C05"/>
    <w:rsid w:val="00234FE1"/>
    <w:rsid w:val="002363B4"/>
    <w:rsid w:val="00237237"/>
    <w:rsid w:val="00241247"/>
    <w:rsid w:val="002432E3"/>
    <w:rsid w:val="00243769"/>
    <w:rsid w:val="002439C4"/>
    <w:rsid w:val="00244395"/>
    <w:rsid w:val="00250C4A"/>
    <w:rsid w:val="002528E6"/>
    <w:rsid w:val="00253D50"/>
    <w:rsid w:val="00255A9C"/>
    <w:rsid w:val="00257315"/>
    <w:rsid w:val="002606F2"/>
    <w:rsid w:val="00260B99"/>
    <w:rsid w:val="00260CD2"/>
    <w:rsid w:val="002613A4"/>
    <w:rsid w:val="00263B04"/>
    <w:rsid w:val="00265F70"/>
    <w:rsid w:val="002670B7"/>
    <w:rsid w:val="00270413"/>
    <w:rsid w:val="0027182D"/>
    <w:rsid w:val="00271A80"/>
    <w:rsid w:val="0027214C"/>
    <w:rsid w:val="00275F9B"/>
    <w:rsid w:val="00276A74"/>
    <w:rsid w:val="002771B1"/>
    <w:rsid w:val="00285790"/>
    <w:rsid w:val="002919B4"/>
    <w:rsid w:val="00292460"/>
    <w:rsid w:val="002A4CB2"/>
    <w:rsid w:val="002A69E3"/>
    <w:rsid w:val="002B6794"/>
    <w:rsid w:val="002C196D"/>
    <w:rsid w:val="002C36D0"/>
    <w:rsid w:val="002C60D6"/>
    <w:rsid w:val="002D3E6D"/>
    <w:rsid w:val="002D7954"/>
    <w:rsid w:val="002E1B3B"/>
    <w:rsid w:val="002E55D3"/>
    <w:rsid w:val="002F0B6E"/>
    <w:rsid w:val="002F3774"/>
    <w:rsid w:val="002F3BEF"/>
    <w:rsid w:val="0030772E"/>
    <w:rsid w:val="00310B94"/>
    <w:rsid w:val="0031370D"/>
    <w:rsid w:val="00316693"/>
    <w:rsid w:val="00323938"/>
    <w:rsid w:val="00326437"/>
    <w:rsid w:val="003302C3"/>
    <w:rsid w:val="00333F9E"/>
    <w:rsid w:val="00336633"/>
    <w:rsid w:val="00342DCA"/>
    <w:rsid w:val="00346DD7"/>
    <w:rsid w:val="0037010F"/>
    <w:rsid w:val="00372945"/>
    <w:rsid w:val="00372DBE"/>
    <w:rsid w:val="003735CE"/>
    <w:rsid w:val="00376E8C"/>
    <w:rsid w:val="0037782E"/>
    <w:rsid w:val="003813B4"/>
    <w:rsid w:val="0038449E"/>
    <w:rsid w:val="00386ED8"/>
    <w:rsid w:val="0038778C"/>
    <w:rsid w:val="003A1554"/>
    <w:rsid w:val="003A251D"/>
    <w:rsid w:val="003A7D2C"/>
    <w:rsid w:val="003A7E9D"/>
    <w:rsid w:val="003B1855"/>
    <w:rsid w:val="003B4F7E"/>
    <w:rsid w:val="003B74B5"/>
    <w:rsid w:val="003C46BA"/>
    <w:rsid w:val="003C5236"/>
    <w:rsid w:val="003C5BF8"/>
    <w:rsid w:val="003C6C57"/>
    <w:rsid w:val="003C6E05"/>
    <w:rsid w:val="003C742C"/>
    <w:rsid w:val="003D1461"/>
    <w:rsid w:val="003D216F"/>
    <w:rsid w:val="003D38A9"/>
    <w:rsid w:val="003D515C"/>
    <w:rsid w:val="003D57A0"/>
    <w:rsid w:val="003D786B"/>
    <w:rsid w:val="003E0203"/>
    <w:rsid w:val="003E1E87"/>
    <w:rsid w:val="003E5232"/>
    <w:rsid w:val="003E6134"/>
    <w:rsid w:val="003E6253"/>
    <w:rsid w:val="003E67BB"/>
    <w:rsid w:val="003E7449"/>
    <w:rsid w:val="003F0C2C"/>
    <w:rsid w:val="003F10D4"/>
    <w:rsid w:val="003F3009"/>
    <w:rsid w:val="003F383B"/>
    <w:rsid w:val="003F6051"/>
    <w:rsid w:val="00402024"/>
    <w:rsid w:val="00403687"/>
    <w:rsid w:val="00403B2C"/>
    <w:rsid w:val="00404DB7"/>
    <w:rsid w:val="00404E82"/>
    <w:rsid w:val="00413AEA"/>
    <w:rsid w:val="00415B45"/>
    <w:rsid w:val="00415CA5"/>
    <w:rsid w:val="004303E8"/>
    <w:rsid w:val="00433A10"/>
    <w:rsid w:val="0043458F"/>
    <w:rsid w:val="00434B7C"/>
    <w:rsid w:val="00436C65"/>
    <w:rsid w:val="00437D22"/>
    <w:rsid w:val="0045003D"/>
    <w:rsid w:val="004575A1"/>
    <w:rsid w:val="004627C6"/>
    <w:rsid w:val="0047077C"/>
    <w:rsid w:val="00472711"/>
    <w:rsid w:val="0047792C"/>
    <w:rsid w:val="00480035"/>
    <w:rsid w:val="00481627"/>
    <w:rsid w:val="0049002A"/>
    <w:rsid w:val="00490228"/>
    <w:rsid w:val="00491E18"/>
    <w:rsid w:val="00497C71"/>
    <w:rsid w:val="004A46DB"/>
    <w:rsid w:val="004B0625"/>
    <w:rsid w:val="004B3419"/>
    <w:rsid w:val="004B51BE"/>
    <w:rsid w:val="004B7370"/>
    <w:rsid w:val="004C738A"/>
    <w:rsid w:val="004E0B0F"/>
    <w:rsid w:val="004E39B9"/>
    <w:rsid w:val="004E5B1A"/>
    <w:rsid w:val="004E7501"/>
    <w:rsid w:val="004F138A"/>
    <w:rsid w:val="004F18B7"/>
    <w:rsid w:val="00502B50"/>
    <w:rsid w:val="005035CB"/>
    <w:rsid w:val="00505820"/>
    <w:rsid w:val="00506468"/>
    <w:rsid w:val="00506E82"/>
    <w:rsid w:val="0050731C"/>
    <w:rsid w:val="005129D3"/>
    <w:rsid w:val="0051411F"/>
    <w:rsid w:val="00517B51"/>
    <w:rsid w:val="00517EA1"/>
    <w:rsid w:val="00521AC2"/>
    <w:rsid w:val="00525CA8"/>
    <w:rsid w:val="005276A9"/>
    <w:rsid w:val="00531BD2"/>
    <w:rsid w:val="005327FD"/>
    <w:rsid w:val="00533205"/>
    <w:rsid w:val="005361B2"/>
    <w:rsid w:val="00537A68"/>
    <w:rsid w:val="005439B2"/>
    <w:rsid w:val="00544F97"/>
    <w:rsid w:val="005463E4"/>
    <w:rsid w:val="0055011B"/>
    <w:rsid w:val="005546B0"/>
    <w:rsid w:val="0055596E"/>
    <w:rsid w:val="00556A0B"/>
    <w:rsid w:val="00556B77"/>
    <w:rsid w:val="00556BE0"/>
    <w:rsid w:val="00562726"/>
    <w:rsid w:val="0056436B"/>
    <w:rsid w:val="0056686A"/>
    <w:rsid w:val="00570669"/>
    <w:rsid w:val="00575B45"/>
    <w:rsid w:val="00575D28"/>
    <w:rsid w:val="00580B11"/>
    <w:rsid w:val="00581289"/>
    <w:rsid w:val="00583522"/>
    <w:rsid w:val="00583863"/>
    <w:rsid w:val="00585747"/>
    <w:rsid w:val="00590462"/>
    <w:rsid w:val="00594EB6"/>
    <w:rsid w:val="005979D3"/>
    <w:rsid w:val="005A26DC"/>
    <w:rsid w:val="005A4733"/>
    <w:rsid w:val="005B245F"/>
    <w:rsid w:val="005B4C22"/>
    <w:rsid w:val="005B58C5"/>
    <w:rsid w:val="005C0A99"/>
    <w:rsid w:val="005C0DBD"/>
    <w:rsid w:val="005D0B7D"/>
    <w:rsid w:val="005D5F02"/>
    <w:rsid w:val="005D6EEB"/>
    <w:rsid w:val="005F33B0"/>
    <w:rsid w:val="005F4D7F"/>
    <w:rsid w:val="005F6953"/>
    <w:rsid w:val="00600CF2"/>
    <w:rsid w:val="00601C17"/>
    <w:rsid w:val="00602229"/>
    <w:rsid w:val="0060379E"/>
    <w:rsid w:val="0060505A"/>
    <w:rsid w:val="0060633F"/>
    <w:rsid w:val="006109F0"/>
    <w:rsid w:val="00613720"/>
    <w:rsid w:val="00615F60"/>
    <w:rsid w:val="006249A5"/>
    <w:rsid w:val="00625CBF"/>
    <w:rsid w:val="006302DF"/>
    <w:rsid w:val="0063153A"/>
    <w:rsid w:val="00633F99"/>
    <w:rsid w:val="0063773C"/>
    <w:rsid w:val="00637D1E"/>
    <w:rsid w:val="00643688"/>
    <w:rsid w:val="006458D6"/>
    <w:rsid w:val="00646A5F"/>
    <w:rsid w:val="00652C07"/>
    <w:rsid w:val="0065481C"/>
    <w:rsid w:val="00656372"/>
    <w:rsid w:val="00663A53"/>
    <w:rsid w:val="0066425F"/>
    <w:rsid w:val="006643D8"/>
    <w:rsid w:val="0066476B"/>
    <w:rsid w:val="00665F87"/>
    <w:rsid w:val="00667A35"/>
    <w:rsid w:val="00672347"/>
    <w:rsid w:val="006746B1"/>
    <w:rsid w:val="00675A93"/>
    <w:rsid w:val="00681627"/>
    <w:rsid w:val="006828E6"/>
    <w:rsid w:val="00684302"/>
    <w:rsid w:val="006849F4"/>
    <w:rsid w:val="00684B10"/>
    <w:rsid w:val="0068593D"/>
    <w:rsid w:val="006859D4"/>
    <w:rsid w:val="00685C0A"/>
    <w:rsid w:val="00691C3B"/>
    <w:rsid w:val="00695B79"/>
    <w:rsid w:val="0069680E"/>
    <w:rsid w:val="006A56DB"/>
    <w:rsid w:val="006A690D"/>
    <w:rsid w:val="006B781D"/>
    <w:rsid w:val="006B78EA"/>
    <w:rsid w:val="006C6A56"/>
    <w:rsid w:val="006C7B2F"/>
    <w:rsid w:val="006D1BBC"/>
    <w:rsid w:val="006D432D"/>
    <w:rsid w:val="006D7233"/>
    <w:rsid w:val="006D7B76"/>
    <w:rsid w:val="006E2C63"/>
    <w:rsid w:val="006E2D49"/>
    <w:rsid w:val="006E409E"/>
    <w:rsid w:val="006E688F"/>
    <w:rsid w:val="006E770E"/>
    <w:rsid w:val="006F5761"/>
    <w:rsid w:val="006F6372"/>
    <w:rsid w:val="006F705B"/>
    <w:rsid w:val="006F7B66"/>
    <w:rsid w:val="007018C3"/>
    <w:rsid w:val="00701C4A"/>
    <w:rsid w:val="00702454"/>
    <w:rsid w:val="0070365E"/>
    <w:rsid w:val="00706B28"/>
    <w:rsid w:val="00707835"/>
    <w:rsid w:val="0071227D"/>
    <w:rsid w:val="00714B54"/>
    <w:rsid w:val="007150F7"/>
    <w:rsid w:val="00715CE7"/>
    <w:rsid w:val="007164FC"/>
    <w:rsid w:val="00716724"/>
    <w:rsid w:val="00716841"/>
    <w:rsid w:val="00720B14"/>
    <w:rsid w:val="007220A2"/>
    <w:rsid w:val="00722289"/>
    <w:rsid w:val="00723A66"/>
    <w:rsid w:val="007253EC"/>
    <w:rsid w:val="00725B50"/>
    <w:rsid w:val="0073733C"/>
    <w:rsid w:val="00737A2A"/>
    <w:rsid w:val="00740319"/>
    <w:rsid w:val="00746024"/>
    <w:rsid w:val="00746182"/>
    <w:rsid w:val="00746651"/>
    <w:rsid w:val="00747E6E"/>
    <w:rsid w:val="0075108A"/>
    <w:rsid w:val="007518A8"/>
    <w:rsid w:val="00764E9F"/>
    <w:rsid w:val="00764F52"/>
    <w:rsid w:val="00766432"/>
    <w:rsid w:val="007706F0"/>
    <w:rsid w:val="0077221D"/>
    <w:rsid w:val="00772641"/>
    <w:rsid w:val="007748D0"/>
    <w:rsid w:val="00777B10"/>
    <w:rsid w:val="00781886"/>
    <w:rsid w:val="0078227D"/>
    <w:rsid w:val="00787CF8"/>
    <w:rsid w:val="007A0DDB"/>
    <w:rsid w:val="007A100B"/>
    <w:rsid w:val="007A3FEF"/>
    <w:rsid w:val="007A4AF0"/>
    <w:rsid w:val="007B34A1"/>
    <w:rsid w:val="007B393A"/>
    <w:rsid w:val="007B4933"/>
    <w:rsid w:val="007B5F00"/>
    <w:rsid w:val="007C33DD"/>
    <w:rsid w:val="007C3C78"/>
    <w:rsid w:val="007C6D88"/>
    <w:rsid w:val="007D06D9"/>
    <w:rsid w:val="007D2D26"/>
    <w:rsid w:val="007D5034"/>
    <w:rsid w:val="007D6BA0"/>
    <w:rsid w:val="007E0312"/>
    <w:rsid w:val="007E1A42"/>
    <w:rsid w:val="007E25ED"/>
    <w:rsid w:val="007F03D0"/>
    <w:rsid w:val="007F096C"/>
    <w:rsid w:val="007F207D"/>
    <w:rsid w:val="008000B8"/>
    <w:rsid w:val="00800852"/>
    <w:rsid w:val="008012BD"/>
    <w:rsid w:val="00801340"/>
    <w:rsid w:val="00803F74"/>
    <w:rsid w:val="00822023"/>
    <w:rsid w:val="00822CC9"/>
    <w:rsid w:val="008232B3"/>
    <w:rsid w:val="00823AB7"/>
    <w:rsid w:val="008304CA"/>
    <w:rsid w:val="008305F8"/>
    <w:rsid w:val="00834C2F"/>
    <w:rsid w:val="00835026"/>
    <w:rsid w:val="008419D8"/>
    <w:rsid w:val="00842445"/>
    <w:rsid w:val="00846D0A"/>
    <w:rsid w:val="00850787"/>
    <w:rsid w:val="00855F77"/>
    <w:rsid w:val="008629DF"/>
    <w:rsid w:val="0086302B"/>
    <w:rsid w:val="00864365"/>
    <w:rsid w:val="00864750"/>
    <w:rsid w:val="00865EBC"/>
    <w:rsid w:val="00870733"/>
    <w:rsid w:val="00872F3A"/>
    <w:rsid w:val="00873128"/>
    <w:rsid w:val="00877C00"/>
    <w:rsid w:val="0088027D"/>
    <w:rsid w:val="00880528"/>
    <w:rsid w:val="00881746"/>
    <w:rsid w:val="00891055"/>
    <w:rsid w:val="00892F64"/>
    <w:rsid w:val="00895354"/>
    <w:rsid w:val="008962A8"/>
    <w:rsid w:val="008A1A36"/>
    <w:rsid w:val="008A591C"/>
    <w:rsid w:val="008A735D"/>
    <w:rsid w:val="008B050D"/>
    <w:rsid w:val="008D0EDB"/>
    <w:rsid w:val="008D1B24"/>
    <w:rsid w:val="008D7802"/>
    <w:rsid w:val="008E23B7"/>
    <w:rsid w:val="008E4FB6"/>
    <w:rsid w:val="008F24CF"/>
    <w:rsid w:val="008F3EE6"/>
    <w:rsid w:val="008F4A62"/>
    <w:rsid w:val="00900AB6"/>
    <w:rsid w:val="0090402F"/>
    <w:rsid w:val="00906585"/>
    <w:rsid w:val="00906704"/>
    <w:rsid w:val="00907989"/>
    <w:rsid w:val="0091147A"/>
    <w:rsid w:val="00912516"/>
    <w:rsid w:val="009140C7"/>
    <w:rsid w:val="00914F58"/>
    <w:rsid w:val="0091613B"/>
    <w:rsid w:val="00920CB2"/>
    <w:rsid w:val="00925F6D"/>
    <w:rsid w:val="00931D32"/>
    <w:rsid w:val="00932612"/>
    <w:rsid w:val="00942FFB"/>
    <w:rsid w:val="009437E2"/>
    <w:rsid w:val="00951B9B"/>
    <w:rsid w:val="00956869"/>
    <w:rsid w:val="009628B1"/>
    <w:rsid w:val="00963AC8"/>
    <w:rsid w:val="00964A05"/>
    <w:rsid w:val="009665AB"/>
    <w:rsid w:val="0096726A"/>
    <w:rsid w:val="00974294"/>
    <w:rsid w:val="0097481E"/>
    <w:rsid w:val="00974D0A"/>
    <w:rsid w:val="0097596C"/>
    <w:rsid w:val="009773A4"/>
    <w:rsid w:val="00977459"/>
    <w:rsid w:val="00977AEB"/>
    <w:rsid w:val="00981CE8"/>
    <w:rsid w:val="00982FDB"/>
    <w:rsid w:val="00983692"/>
    <w:rsid w:val="009844C3"/>
    <w:rsid w:val="00987B79"/>
    <w:rsid w:val="00991625"/>
    <w:rsid w:val="00997244"/>
    <w:rsid w:val="009A07D1"/>
    <w:rsid w:val="009A4D4F"/>
    <w:rsid w:val="009A5CD4"/>
    <w:rsid w:val="009B04E9"/>
    <w:rsid w:val="009B0D22"/>
    <w:rsid w:val="009C010E"/>
    <w:rsid w:val="009C50F7"/>
    <w:rsid w:val="009C7D10"/>
    <w:rsid w:val="009D1CE2"/>
    <w:rsid w:val="009D1F1A"/>
    <w:rsid w:val="009D2874"/>
    <w:rsid w:val="009D71C1"/>
    <w:rsid w:val="009E0819"/>
    <w:rsid w:val="009E2D05"/>
    <w:rsid w:val="009F0876"/>
    <w:rsid w:val="009F222E"/>
    <w:rsid w:val="009F7D67"/>
    <w:rsid w:val="00A04ECA"/>
    <w:rsid w:val="00A060D0"/>
    <w:rsid w:val="00A13076"/>
    <w:rsid w:val="00A157E5"/>
    <w:rsid w:val="00A21FA8"/>
    <w:rsid w:val="00A24DC3"/>
    <w:rsid w:val="00A27FE8"/>
    <w:rsid w:val="00A304DC"/>
    <w:rsid w:val="00A355F8"/>
    <w:rsid w:val="00A36590"/>
    <w:rsid w:val="00A44565"/>
    <w:rsid w:val="00A46CB6"/>
    <w:rsid w:val="00A52DA5"/>
    <w:rsid w:val="00A54049"/>
    <w:rsid w:val="00A5551C"/>
    <w:rsid w:val="00A577F3"/>
    <w:rsid w:val="00A61867"/>
    <w:rsid w:val="00A65D46"/>
    <w:rsid w:val="00A714D2"/>
    <w:rsid w:val="00A72572"/>
    <w:rsid w:val="00A7311F"/>
    <w:rsid w:val="00A76384"/>
    <w:rsid w:val="00A80A91"/>
    <w:rsid w:val="00A827C9"/>
    <w:rsid w:val="00A82D54"/>
    <w:rsid w:val="00A86A36"/>
    <w:rsid w:val="00A927FA"/>
    <w:rsid w:val="00A9532F"/>
    <w:rsid w:val="00A96B8E"/>
    <w:rsid w:val="00AA0F4F"/>
    <w:rsid w:val="00AA1258"/>
    <w:rsid w:val="00AA2B46"/>
    <w:rsid w:val="00AA4B36"/>
    <w:rsid w:val="00AA56BE"/>
    <w:rsid w:val="00AA6EFA"/>
    <w:rsid w:val="00AB27B6"/>
    <w:rsid w:val="00AB34FD"/>
    <w:rsid w:val="00AB4378"/>
    <w:rsid w:val="00AB6621"/>
    <w:rsid w:val="00AC0111"/>
    <w:rsid w:val="00AC3376"/>
    <w:rsid w:val="00AC45AF"/>
    <w:rsid w:val="00AC7B74"/>
    <w:rsid w:val="00AC7CE2"/>
    <w:rsid w:val="00AD1735"/>
    <w:rsid w:val="00AD1A07"/>
    <w:rsid w:val="00AD789D"/>
    <w:rsid w:val="00AE0EA5"/>
    <w:rsid w:val="00AE10A4"/>
    <w:rsid w:val="00AE2347"/>
    <w:rsid w:val="00AE2777"/>
    <w:rsid w:val="00AE4F2E"/>
    <w:rsid w:val="00AF53BE"/>
    <w:rsid w:val="00AF5534"/>
    <w:rsid w:val="00AF6460"/>
    <w:rsid w:val="00AF6D5D"/>
    <w:rsid w:val="00B00053"/>
    <w:rsid w:val="00B06084"/>
    <w:rsid w:val="00B07672"/>
    <w:rsid w:val="00B07925"/>
    <w:rsid w:val="00B07A4F"/>
    <w:rsid w:val="00B118A7"/>
    <w:rsid w:val="00B12352"/>
    <w:rsid w:val="00B139CA"/>
    <w:rsid w:val="00B152D8"/>
    <w:rsid w:val="00B1731E"/>
    <w:rsid w:val="00B21938"/>
    <w:rsid w:val="00B21961"/>
    <w:rsid w:val="00B21CA3"/>
    <w:rsid w:val="00B26158"/>
    <w:rsid w:val="00B2651F"/>
    <w:rsid w:val="00B26E06"/>
    <w:rsid w:val="00B30031"/>
    <w:rsid w:val="00B30172"/>
    <w:rsid w:val="00B34920"/>
    <w:rsid w:val="00B34CC3"/>
    <w:rsid w:val="00B437FB"/>
    <w:rsid w:val="00B43BA0"/>
    <w:rsid w:val="00B5088F"/>
    <w:rsid w:val="00B55F7B"/>
    <w:rsid w:val="00B560E2"/>
    <w:rsid w:val="00B61012"/>
    <w:rsid w:val="00B61388"/>
    <w:rsid w:val="00B62C33"/>
    <w:rsid w:val="00B63160"/>
    <w:rsid w:val="00B66C70"/>
    <w:rsid w:val="00B670BA"/>
    <w:rsid w:val="00B67C31"/>
    <w:rsid w:val="00B726D1"/>
    <w:rsid w:val="00B76E11"/>
    <w:rsid w:val="00B816AE"/>
    <w:rsid w:val="00B875B5"/>
    <w:rsid w:val="00B93319"/>
    <w:rsid w:val="00B96149"/>
    <w:rsid w:val="00B96A67"/>
    <w:rsid w:val="00B97B51"/>
    <w:rsid w:val="00BA3873"/>
    <w:rsid w:val="00BA6FEC"/>
    <w:rsid w:val="00BB1A00"/>
    <w:rsid w:val="00BC30D6"/>
    <w:rsid w:val="00BD1D30"/>
    <w:rsid w:val="00BD23F9"/>
    <w:rsid w:val="00BD354C"/>
    <w:rsid w:val="00BD47AB"/>
    <w:rsid w:val="00BD6E7E"/>
    <w:rsid w:val="00BD7E6A"/>
    <w:rsid w:val="00BE05A4"/>
    <w:rsid w:val="00BE144A"/>
    <w:rsid w:val="00BE5BC8"/>
    <w:rsid w:val="00BE5FFD"/>
    <w:rsid w:val="00BF22A2"/>
    <w:rsid w:val="00BF28C3"/>
    <w:rsid w:val="00C00C14"/>
    <w:rsid w:val="00C00C37"/>
    <w:rsid w:val="00C01234"/>
    <w:rsid w:val="00C0217C"/>
    <w:rsid w:val="00C0350F"/>
    <w:rsid w:val="00C048F7"/>
    <w:rsid w:val="00C07DB3"/>
    <w:rsid w:val="00C1170F"/>
    <w:rsid w:val="00C148FF"/>
    <w:rsid w:val="00C15DDB"/>
    <w:rsid w:val="00C16774"/>
    <w:rsid w:val="00C21691"/>
    <w:rsid w:val="00C21A5D"/>
    <w:rsid w:val="00C33E80"/>
    <w:rsid w:val="00C3772C"/>
    <w:rsid w:val="00C41DBB"/>
    <w:rsid w:val="00C4469B"/>
    <w:rsid w:val="00C44BAB"/>
    <w:rsid w:val="00C4599B"/>
    <w:rsid w:val="00C46A26"/>
    <w:rsid w:val="00C5227C"/>
    <w:rsid w:val="00C5706B"/>
    <w:rsid w:val="00C60885"/>
    <w:rsid w:val="00C61D90"/>
    <w:rsid w:val="00C65FCA"/>
    <w:rsid w:val="00C662B8"/>
    <w:rsid w:val="00C66FD7"/>
    <w:rsid w:val="00C72508"/>
    <w:rsid w:val="00C73082"/>
    <w:rsid w:val="00C73A57"/>
    <w:rsid w:val="00C77B30"/>
    <w:rsid w:val="00C77EBA"/>
    <w:rsid w:val="00C81821"/>
    <w:rsid w:val="00C83813"/>
    <w:rsid w:val="00C90723"/>
    <w:rsid w:val="00C908BC"/>
    <w:rsid w:val="00C9092D"/>
    <w:rsid w:val="00C909BE"/>
    <w:rsid w:val="00C912A4"/>
    <w:rsid w:val="00C928D5"/>
    <w:rsid w:val="00C93848"/>
    <w:rsid w:val="00C97D22"/>
    <w:rsid w:val="00CA1849"/>
    <w:rsid w:val="00CA5BCB"/>
    <w:rsid w:val="00CA5C12"/>
    <w:rsid w:val="00CB1AB5"/>
    <w:rsid w:val="00CB2312"/>
    <w:rsid w:val="00CB5F7E"/>
    <w:rsid w:val="00CC4E72"/>
    <w:rsid w:val="00CD0E57"/>
    <w:rsid w:val="00CD2C96"/>
    <w:rsid w:val="00CD5385"/>
    <w:rsid w:val="00CD5757"/>
    <w:rsid w:val="00CE477F"/>
    <w:rsid w:val="00CE49E6"/>
    <w:rsid w:val="00CE7D8C"/>
    <w:rsid w:val="00CF0472"/>
    <w:rsid w:val="00CF14D9"/>
    <w:rsid w:val="00CF2597"/>
    <w:rsid w:val="00CF3A0C"/>
    <w:rsid w:val="00D017FA"/>
    <w:rsid w:val="00D04A54"/>
    <w:rsid w:val="00D063A3"/>
    <w:rsid w:val="00D11023"/>
    <w:rsid w:val="00D21B7A"/>
    <w:rsid w:val="00D223F1"/>
    <w:rsid w:val="00D2282A"/>
    <w:rsid w:val="00D2523B"/>
    <w:rsid w:val="00D30CA5"/>
    <w:rsid w:val="00D36C46"/>
    <w:rsid w:val="00D377A5"/>
    <w:rsid w:val="00D379A2"/>
    <w:rsid w:val="00D40EB6"/>
    <w:rsid w:val="00D428C2"/>
    <w:rsid w:val="00D43CAA"/>
    <w:rsid w:val="00D47075"/>
    <w:rsid w:val="00D503C0"/>
    <w:rsid w:val="00D52E7E"/>
    <w:rsid w:val="00D52FA9"/>
    <w:rsid w:val="00D53C50"/>
    <w:rsid w:val="00D53EE0"/>
    <w:rsid w:val="00D561E0"/>
    <w:rsid w:val="00D667DE"/>
    <w:rsid w:val="00D76AAF"/>
    <w:rsid w:val="00D773C0"/>
    <w:rsid w:val="00D826DB"/>
    <w:rsid w:val="00D82A62"/>
    <w:rsid w:val="00D845DA"/>
    <w:rsid w:val="00D85AB8"/>
    <w:rsid w:val="00D865DF"/>
    <w:rsid w:val="00D92639"/>
    <w:rsid w:val="00D96E13"/>
    <w:rsid w:val="00DB0E0F"/>
    <w:rsid w:val="00DB1A20"/>
    <w:rsid w:val="00DB5AC6"/>
    <w:rsid w:val="00DC2F4C"/>
    <w:rsid w:val="00DC3C0D"/>
    <w:rsid w:val="00DC3D74"/>
    <w:rsid w:val="00DC4C06"/>
    <w:rsid w:val="00DC4ECA"/>
    <w:rsid w:val="00DC4ECB"/>
    <w:rsid w:val="00DD35C8"/>
    <w:rsid w:val="00DD55D2"/>
    <w:rsid w:val="00DD5A49"/>
    <w:rsid w:val="00DE1DAB"/>
    <w:rsid w:val="00DE3D99"/>
    <w:rsid w:val="00DE4601"/>
    <w:rsid w:val="00DF1489"/>
    <w:rsid w:val="00DF18FC"/>
    <w:rsid w:val="00DF2740"/>
    <w:rsid w:val="00DF2B53"/>
    <w:rsid w:val="00DF56ED"/>
    <w:rsid w:val="00E0055D"/>
    <w:rsid w:val="00E046AF"/>
    <w:rsid w:val="00E12053"/>
    <w:rsid w:val="00E12103"/>
    <w:rsid w:val="00E14C11"/>
    <w:rsid w:val="00E17F0D"/>
    <w:rsid w:val="00E20115"/>
    <w:rsid w:val="00E24624"/>
    <w:rsid w:val="00E35336"/>
    <w:rsid w:val="00E37AE2"/>
    <w:rsid w:val="00E418CD"/>
    <w:rsid w:val="00E44120"/>
    <w:rsid w:val="00E4637B"/>
    <w:rsid w:val="00E5087A"/>
    <w:rsid w:val="00E51AC2"/>
    <w:rsid w:val="00E573CA"/>
    <w:rsid w:val="00E57BBE"/>
    <w:rsid w:val="00E60428"/>
    <w:rsid w:val="00E74743"/>
    <w:rsid w:val="00E766EB"/>
    <w:rsid w:val="00E77E49"/>
    <w:rsid w:val="00E835C7"/>
    <w:rsid w:val="00E85AD4"/>
    <w:rsid w:val="00E87C37"/>
    <w:rsid w:val="00E91F9C"/>
    <w:rsid w:val="00E92217"/>
    <w:rsid w:val="00E94D12"/>
    <w:rsid w:val="00E97469"/>
    <w:rsid w:val="00EA04E9"/>
    <w:rsid w:val="00EA6472"/>
    <w:rsid w:val="00EB08ED"/>
    <w:rsid w:val="00EB5490"/>
    <w:rsid w:val="00EC5117"/>
    <w:rsid w:val="00EE269A"/>
    <w:rsid w:val="00EE4782"/>
    <w:rsid w:val="00EE6748"/>
    <w:rsid w:val="00EE78F0"/>
    <w:rsid w:val="00EF03B5"/>
    <w:rsid w:val="00EF5974"/>
    <w:rsid w:val="00EF6AB3"/>
    <w:rsid w:val="00F02BD3"/>
    <w:rsid w:val="00F11760"/>
    <w:rsid w:val="00F117E4"/>
    <w:rsid w:val="00F171A3"/>
    <w:rsid w:val="00F1796A"/>
    <w:rsid w:val="00F23297"/>
    <w:rsid w:val="00F23653"/>
    <w:rsid w:val="00F25861"/>
    <w:rsid w:val="00F27623"/>
    <w:rsid w:val="00F27B0B"/>
    <w:rsid w:val="00F3541B"/>
    <w:rsid w:val="00F3612D"/>
    <w:rsid w:val="00F3620F"/>
    <w:rsid w:val="00F36E68"/>
    <w:rsid w:val="00F42510"/>
    <w:rsid w:val="00F42880"/>
    <w:rsid w:val="00F44FA7"/>
    <w:rsid w:val="00F55AD2"/>
    <w:rsid w:val="00F565A8"/>
    <w:rsid w:val="00F60B90"/>
    <w:rsid w:val="00F6188B"/>
    <w:rsid w:val="00F64AF3"/>
    <w:rsid w:val="00F748B7"/>
    <w:rsid w:val="00F76A6D"/>
    <w:rsid w:val="00F80A4B"/>
    <w:rsid w:val="00F825AC"/>
    <w:rsid w:val="00F840E6"/>
    <w:rsid w:val="00F844C3"/>
    <w:rsid w:val="00F91CF7"/>
    <w:rsid w:val="00F95963"/>
    <w:rsid w:val="00FA09CE"/>
    <w:rsid w:val="00FA43EC"/>
    <w:rsid w:val="00FA6204"/>
    <w:rsid w:val="00FA74FF"/>
    <w:rsid w:val="00FB0479"/>
    <w:rsid w:val="00FB0590"/>
    <w:rsid w:val="00FB08EA"/>
    <w:rsid w:val="00FB2CAE"/>
    <w:rsid w:val="00FC1301"/>
    <w:rsid w:val="00FC4FFC"/>
    <w:rsid w:val="00FD174D"/>
    <w:rsid w:val="00FD187F"/>
    <w:rsid w:val="00FD58DE"/>
    <w:rsid w:val="00FE149E"/>
    <w:rsid w:val="00FE3647"/>
    <w:rsid w:val="00FE494D"/>
    <w:rsid w:val="00FE6F8B"/>
    <w:rsid w:val="00FF0F06"/>
    <w:rsid w:val="00FF16F7"/>
    <w:rsid w:val="00FF3620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7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1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1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70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11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1266</Words>
  <Characters>7218</Characters>
  <Application>Microsoft Office Word</Application>
  <DocSecurity>0</DocSecurity>
  <Lines>60</Lines>
  <Paragraphs>16</Paragraphs>
  <ScaleCrop>false</ScaleCrop>
  <Company>Toshiba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专员</dc:creator>
  <cp:keywords/>
  <dc:description/>
  <cp:lastModifiedBy>专员</cp:lastModifiedBy>
  <cp:revision>2</cp:revision>
  <dcterms:created xsi:type="dcterms:W3CDTF">2019-10-24T04:38:00Z</dcterms:created>
  <dcterms:modified xsi:type="dcterms:W3CDTF">2019-10-24T04:39:00Z</dcterms:modified>
</cp:coreProperties>
</file>