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EF22A">
      <w:pPr>
        <w:pStyle w:val="20"/>
        <w:widowControl/>
        <w:rPr>
          <w:sz w:val="32"/>
          <w:szCs w:val="32"/>
        </w:rPr>
      </w:pPr>
      <mc:AlternateContent>
        <mc:Choice Requires="wpsCustomData">
          <wpsCustomData:docfieldStart id="0" docfieldname="附件_1" hidden="0" print="1" readonly="0" index="4"/>
        </mc:Choice>
      </mc:AlternateContent>
      <w:r>
        <w:rPr>
          <w:sz w:val="32"/>
          <w:szCs w:val="32"/>
        </w:rPr>
        <w:t>附件1：</w:t>
      </w:r>
    </w:p>
    <mc:AlternateContent>
      <mc:Choice Requires="wpsCustomData">
        <wpsCustomData:docfieldEnd id="0"/>
      </mc:Choice>
    </mc:AlternateContent>
    <w:p w14:paraId="29CC5A9B"/>
    <w:p w14:paraId="77980E49">
      <w:pPr>
        <w:pStyle w:val="16"/>
        <w:widowControl/>
      </w:pPr>
      <mc:AlternateContent>
        <mc:Choice Requires="wpsCustomData">
          <wpsCustomData:docfieldStart id="1" docfieldname="FJ_1" hidden="0" print="1" readonly="0" index="2"/>
        </mc:Choice>
      </mc:AlternateContent>
      <w:r>
        <w:t>2026年度校级教师科研项目选题指南</w:t>
      </w:r>
    </w:p>
    <mc:AlternateContent>
      <mc:Choice Requires="wpsCustomData">
        <wpsCustomData:docfieldEnd id="1"/>
      </mc:Choice>
    </mc:AlternateContent>
    <w:p w14:paraId="3C271B7C">
      <w:pPr>
        <w:pStyle w:val="16"/>
        <w:widowControl/>
      </w:pPr>
    </w:p>
    <w:p w14:paraId="02888EC2">
      <w:pPr>
        <w:pStyle w:val="11"/>
        <w:widowControl/>
        <w:rPr>
          <w:rFonts w:ascii="Times New Roman" w:hAnsi="Times New Roman" w:eastAsia="仿宋_GB2312" w:cs="仿宋_GB2312"/>
          <w:color w:val="auto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当前，以大模型为代表的人工智能技术正重塑各行业发展格局与应用生态，“人工智能＋”已成为推动产业升级与教育变革的核心引擎。为全面对接国家战略部署，充分发挥我校IT应用型大学的办学特色和产教融合积淀，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科学引导2026年度校级教师科研项目的选题方向，特制定本指南。</w:t>
      </w:r>
    </w:p>
    <w:p w14:paraId="34AA12FD">
      <w:pPr>
        <w:pStyle w:val="11"/>
        <w:widowControl/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本指南以“AI驱动、场景落地、教研互促”为核心理念，以人工智能为技术基底、行业应用为价值导向，梳理了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面向智能制造、健康医疗、数字文旅、经管商贸、语言文化、数字艺术、思政教育、体育健康等重点研究方向，每个方向下设若干参考选题。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旨在引导广大教师聚焦人工智能与具体行业场景深度融合，产出可落地、可转化、可反哺教学的科研成果，推动我校科研向应</w:t>
      </w:r>
      <w:r>
        <w:rPr>
          <w:rFonts w:ascii="Times New Roman" w:hAnsi="Times New Roman" w:eastAsia="仿宋_GB2312" w:cs="仿宋_GB2312"/>
          <w:b w:val="0"/>
          <w:color w:val="auto"/>
          <w:spacing wpsCustomData:val="-6" w:val="7"/>
          <w:sz w:val="32"/>
          <w:szCs w:val="32"/>
        </w:rPr>
        <w:t>用型转型、教学体系向智能化升级、社会服务向产业一</w:t>
      </w:r>
      <w:r>
        <w:rPr>
          <w:rFonts w:ascii="Times New Roman" w:hAnsi="Times New Roman" w:eastAsia="仿宋_GB2312" w:cs="仿宋_GB2312"/>
          <w:b w:val="0"/>
          <w:color w:val="auto"/>
          <w:spacing wpsCustomData:val="-6" w:val="-6"/>
          <w:sz w:val="32"/>
          <w:szCs w:val="32"/>
        </w:rPr>
        <w:t>线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延伸。</w:t>
      </w:r>
    </w:p>
    <w:p w14:paraId="7F8AA487">
      <w:pPr>
        <w:pStyle w:val="11"/>
        <w:widowControl/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</w:pPr>
    </w:p>
    <w:p w14:paraId="75AAC362">
      <w:pPr>
        <w:pStyle w:val="2"/>
        <w:widowControl/>
      </w:pPr>
      <w:r>
        <w:t>选题说明</w:t>
      </w:r>
    </w:p>
    <w:p w14:paraId="1CF2221B">
      <w:pPr>
        <w:pStyle w:val="11"/>
        <w:widowControl/>
        <w:numPr>
          <w:numId w:val="0"/>
        </w:numPr>
        <w:topLinePunct w:val="0"/>
        <w:ind w:left="0" w:leftChars="0" w:firstLine="616"/>
        <w:rPr>
          <w:rFonts w:hint="eastAsia" w:ascii="楷体_GB2312" w:hAnsi="楷体_GB2312" w:eastAsia="楷体_GB2312" w:cs="楷体_GB2312"/>
          <w:b w:val="0"/>
          <w:color w:val="auto"/>
          <w:sz w:val="32"/>
          <w:szCs w:val="32"/>
          <w:bdr w:val="none" w:sz="0" w:space="0"/>
        </w:rPr>
      </w:pPr>
      <w:r>
        <w:rPr>
          <w:rStyle w:val="21"/>
          <w:rFonts w:hint="eastAsia" w:eastAsia="楷体_GB2312"/>
          <w:lang w:eastAsia="zh-CN"/>
        </w:rPr>
        <w:t>（一）</w:t>
      </w:r>
      <w:r>
        <w:rPr>
          <w:rStyle w:val="21"/>
        </w:rPr>
        <w:t>本指南所列八大研究方向及各子方向为推荐选题范畴，并非限定性题目清单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。申报人可在各方向框架下，结合自身研</w:t>
      </w:r>
      <w:r>
        <w:rPr>
          <w:rFonts w:ascii="Times New Roman" w:hAnsi="Times New Roman" w:eastAsia="仿宋_GB2312" w:cs="仿宋_GB2312"/>
          <w:color w:val="auto"/>
          <w:spacing wpsCustomData:val="-6" w:val="0"/>
          <w:sz w:val="32"/>
          <w:szCs w:val="32"/>
        </w:rPr>
        <w:t>究基础、学科特色和行业场景</w:t>
      </w:r>
      <w:r>
        <w:rPr>
          <w:rFonts w:ascii="Times New Roman" w:hAnsi="Times New Roman" w:eastAsia="仿宋_GB2312" w:cs="仿宋_GB2312"/>
          <w:color w:val="auto"/>
          <w:spacing wpsCustomData:val="-6" w:val="1"/>
          <w:sz w:val="32"/>
          <w:szCs w:val="32"/>
        </w:rPr>
        <w:t>，</w:t>
      </w:r>
      <w:r>
        <w:rPr>
          <w:rFonts w:ascii="Times New Roman" w:hAnsi="Times New Roman" w:eastAsia="仿宋_GB2312" w:cs="仿宋_GB2312"/>
          <w:color w:val="auto"/>
          <w:spacing wpsCustomData:val="-6" w:val="0"/>
          <w:sz w:val="32"/>
          <w:szCs w:val="32"/>
        </w:rPr>
        <w:t>进一步细化</w:t>
      </w:r>
      <w:r>
        <w:rPr>
          <w:rFonts w:ascii="Times New Roman" w:hAnsi="Times New Roman" w:eastAsia="仿宋_GB2312" w:cs="仿宋_GB2312"/>
          <w:color w:val="auto"/>
          <w:spacing wpsCustomData:val="-6" w:val="1"/>
          <w:sz w:val="32"/>
          <w:szCs w:val="32"/>
        </w:rPr>
        <w:t>、</w:t>
      </w:r>
      <w:r>
        <w:rPr>
          <w:rFonts w:ascii="Times New Roman" w:hAnsi="Times New Roman" w:eastAsia="仿宋_GB2312" w:cs="仿宋_GB2312"/>
          <w:color w:val="auto"/>
          <w:spacing wpsCustomData:val="-6" w:val="0"/>
          <w:sz w:val="32"/>
          <w:szCs w:val="32"/>
        </w:rPr>
        <w:t>聚焦具体研</w:t>
      </w:r>
      <w:r>
        <w:rPr>
          <w:rFonts w:ascii="Times New Roman" w:hAnsi="Times New Roman" w:eastAsia="仿宋_GB2312" w:cs="仿宋_GB2312"/>
          <w:color w:val="auto"/>
          <w:spacing wpsCustomData:val="-6" w:val="-6"/>
          <w:sz w:val="32"/>
          <w:szCs w:val="32"/>
        </w:rPr>
        <w:t>究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题目。</w:t>
      </w:r>
    </w:p>
    <w:p w14:paraId="62342786">
      <w:pPr>
        <w:pStyle w:val="11"/>
        <w:widowControl/>
        <w:numPr>
          <w:numId w:val="0"/>
        </w:numPr>
        <w:topLinePunct w:val="0"/>
        <w:ind w:left="0" w:leftChars="0" w:firstLine="616"/>
        <w:rPr>
          <w:rFonts w:hint="eastAsia" w:ascii="楷体_GB2312" w:hAnsi="楷体_GB2312" w:eastAsia="楷体_GB2312" w:cs="楷体_GB2312"/>
          <w:b w:val="0"/>
          <w:color w:val="auto"/>
          <w:sz w:val="32"/>
          <w:szCs w:val="32"/>
          <w:bdr w:val="none" w:sz="0" w:space="0"/>
        </w:rPr>
      </w:pPr>
      <w:r>
        <w:rPr>
          <w:rStyle w:val="21"/>
          <w:rFonts w:hint="eastAsia" w:eastAsia="楷体_GB2312"/>
          <w:lang w:eastAsia="zh-CN"/>
        </w:rPr>
        <w:t>（二）</w:t>
      </w:r>
      <w:r>
        <w:rPr>
          <w:rStyle w:val="21"/>
        </w:rPr>
        <w:t>对于本指南未覆盖但以人工智能为核心、具备明确应用前景或产教融合价值的项目，允许申报人自行拟定题目申报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。自主拟题须紧扣人工智能与各行业各学科深度融合主线，做到研究方向清晰、研究内容具体，具备明确的应用场景与创新价值。</w:t>
      </w:r>
    </w:p>
    <w:p w14:paraId="6BFA72A5">
      <w:pPr>
        <w:pStyle w:val="11"/>
        <w:widowControl/>
        <w:numPr>
          <w:numId w:val="0"/>
        </w:numPr>
        <w:topLinePunct w:val="0"/>
        <w:ind w:left="0" w:leftChars="0" w:firstLine="616"/>
        <w:rPr>
          <w:rFonts w:hint="eastAsia" w:ascii="楷体_GB2312" w:hAnsi="楷体_GB2312" w:eastAsia="楷体_GB2312" w:cs="楷体_GB2312"/>
          <w:b w:val="0"/>
          <w:color w:val="auto"/>
          <w:sz w:val="32"/>
          <w:szCs w:val="32"/>
          <w:bdr w:val="none" w:sz="0" w:space="0"/>
        </w:rPr>
      </w:pPr>
      <w:r>
        <w:rPr>
          <w:rStyle w:val="21"/>
          <w:rFonts w:hint="eastAsia" w:eastAsia="楷体_GB2312"/>
          <w:lang w:eastAsia="zh-CN"/>
        </w:rPr>
        <w:t>（三）</w:t>
      </w:r>
      <w:r>
        <w:rPr>
          <w:rStyle w:val="21"/>
        </w:rPr>
        <w:t>项目成果形式包括但不限于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：学术论文、调研报告、技术研发成果（含软件系统、算法模型、原型产品、数据集等）、发明专利、软件著作权等。鼓励产出多元化、开放性的科研成果，注重成果的实用性与转化潜力，推动研究成果反哺教学与产业。</w:t>
      </w:r>
    </w:p>
    <w:p w14:paraId="68E0C9A2">
      <w:pPr>
        <w:pStyle w:val="11"/>
        <w:widowControl/>
        <w:numPr>
          <w:numId w:val="0"/>
        </w:numPr>
        <w:topLinePunct w:val="0"/>
        <w:ind w:left="0" w:leftChars="0" w:firstLine="616"/>
        <w:rPr>
          <w:rFonts w:hint="eastAsia" w:ascii="楷体_GB2312" w:hAnsi="楷体_GB2312" w:eastAsia="楷体_GB2312" w:cs="楷体_GB2312"/>
          <w:b w:val="0"/>
          <w:color w:val="auto"/>
          <w:sz w:val="32"/>
          <w:szCs w:val="32"/>
          <w:bdr w:val="none" w:sz="0" w:space="0"/>
        </w:rPr>
      </w:pPr>
      <w:r>
        <w:rPr>
          <w:rStyle w:val="21"/>
          <w:rFonts w:hint="eastAsia" w:eastAsia="楷体_GB2312"/>
          <w:lang w:eastAsia="zh-CN"/>
        </w:rPr>
        <w:t>（四）</w:t>
      </w:r>
      <w:r>
        <w:rPr>
          <w:rStyle w:val="21"/>
        </w:rPr>
        <w:t>鼓励跨学科、跨学院联合申报，鼓励与企业、行业机构开展产学研合作研究</w:t>
      </w:r>
      <w:r>
        <w:rPr>
          <w:rFonts w:ascii="Times New Roman" w:hAnsi="Times New Roman" w:eastAsia="仿宋_GB2312" w:cs="仿宋_GB2312"/>
          <w:color w:val="auto"/>
          <w:sz w:val="32"/>
          <w:szCs w:val="32"/>
        </w:rPr>
        <w:t>。</w:t>
      </w:r>
    </w:p>
    <w:p w14:paraId="2D6658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jc w:val="both"/>
        <w:textAlignment w:val="baseline"/>
        <w:rPr>
          <w:rFonts w:hint="default" w:ascii="Times New Roman" w:hAnsi="Times New Roman" w:eastAsia="宋体" w:cs="Times New Roman"/>
          <w:bCs/>
          <w:color w:val="auto"/>
          <w:sz w:val="24"/>
          <w:szCs w:val="24"/>
          <w:lang w:eastAsia="zh-CN"/>
        </w:rPr>
      </w:pPr>
    </w:p>
    <w:p w14:paraId="5E5E7018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一、</w:t>
      </w:r>
      <w:r>
        <w:t>人工智能基础技术与工程化应用</w:t>
      </w:r>
    </w:p>
    <w:p w14:paraId="523F64A7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垂直领域大模型的轻量化适配与工程化部署</w:t>
      </w:r>
    </w:p>
    <w:p w14:paraId="47F03DCA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面向端侧的AI模型压缩与低算力部署优化</w:t>
      </w:r>
    </w:p>
    <w:p w14:paraId="1EC5B499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多模态信息感知与融合算法研究</w:t>
      </w:r>
    </w:p>
    <w:p w14:paraId="40A1243F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智能体自主决策与多智能体协作机制</w:t>
      </w:r>
    </w:p>
    <w:p w14:paraId="449DDC4B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低资源场景下的AI模型高效微调与快速适配</w:t>
      </w:r>
    </w:p>
    <w:p w14:paraId="11EFD2E8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云边端协同的智能计算架构设计</w:t>
      </w:r>
    </w:p>
    <w:p w14:paraId="4389C35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大模型高效训练与推理优化方法研究</w:t>
      </w:r>
    </w:p>
    <w:p w14:paraId="24A4B489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AI系统的安全防护与内容可信验证</w:t>
      </w:r>
    </w:p>
    <w:p w14:paraId="1FC6AE55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5F92643C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二、</w:t>
      </w:r>
      <w:r>
        <w:t>AI＋经管商贸应用研究</w:t>
      </w:r>
    </w:p>
    <w:p w14:paraId="1ABBC806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AI驱动的供应链风险识别与协同优化</w:t>
      </w:r>
    </w:p>
    <w:p w14:paraId="6FED4FB0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大模型驱动的企业财务自动化与智能审计辅助</w:t>
      </w:r>
    </w:p>
    <w:p w14:paraId="4E88B218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面向跨境电商的智能客服与多语种服务研究</w:t>
      </w:r>
    </w:p>
    <w:p w14:paraId="12DD4893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生成式AI辅助的智能营销与内容策略优化</w:t>
      </w:r>
    </w:p>
    <w:p w14:paraId="7F6142B5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面向成渝地区产业的AI经济数据分析与决策支持</w:t>
      </w:r>
    </w:p>
    <w:p w14:paraId="4E706255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AIGC内容合规检测与数字版权保护技术</w:t>
      </w:r>
    </w:p>
    <w:p w14:paraId="76F3B63E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AI驱动的市场趋势预测与消费者画像构建</w:t>
      </w:r>
    </w:p>
    <w:p w14:paraId="12D49F79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中小企业数字化转型的AI赋能路径研究</w:t>
      </w:r>
    </w:p>
    <w:p w14:paraId="5F38C603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7686260F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三、</w:t>
      </w:r>
      <w:r>
        <w:t>AI＋语言文化与旅游应用研究</w:t>
      </w:r>
    </w:p>
    <w:p w14:paraId="2BE3AB98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景区旅游大数据挖掘与客流智能预警系统</w:t>
      </w:r>
    </w:p>
    <w:p w14:paraId="13551A03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面向文旅场景的多语种智能翻译与自助讲解</w:t>
      </w:r>
    </w:p>
    <w:p w14:paraId="3776DB86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基于AI的游客个性化行程规划与智能推荐</w:t>
      </w:r>
    </w:p>
    <w:p w14:paraId="23F39EAB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文化遗产的数字孪生与智能展陈体验设计</w:t>
      </w:r>
    </w:p>
    <w:p w14:paraId="252C7182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AI辅助的外语教学资源自动生成与自适应学习</w:t>
      </w:r>
    </w:p>
    <w:p w14:paraId="7EA858A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跨文化商务沟通中的AI辅助策略研究</w:t>
      </w:r>
    </w:p>
    <w:p w14:paraId="6BECDD8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AI翻译质量评估与智能校对技术</w:t>
      </w:r>
    </w:p>
    <w:p w14:paraId="78756CB3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文旅内容的AIGC多模态生成与传播</w:t>
      </w:r>
    </w:p>
    <w:p w14:paraId="142CF766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618717E9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四、</w:t>
      </w:r>
      <w:r>
        <w:t>AI＋医疗健康与体育应用研究</w:t>
      </w:r>
    </w:p>
    <w:p w14:paraId="3210E86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医学影像的AI辅助筛查与基层诊断支持</w:t>
      </w:r>
    </w:p>
    <w:p w14:paraId="1EB4AE21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居家健康监测数据的智能分析与风险预警</w:t>
      </w:r>
    </w:p>
    <w:p w14:paraId="6D05AF5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电子病历的AI智能分析与临床辅助决策</w:t>
      </w:r>
    </w:p>
    <w:p w14:paraId="1D7CC717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智能问诊系统的对话管理与精准分诊</w:t>
      </w:r>
    </w:p>
    <w:p w14:paraId="1C6C6A17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居家养老场景的行为识别与智能告警</w:t>
      </w:r>
    </w:p>
    <w:p w14:paraId="701CAB29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个性化康养方案的AI生成与智能动态调整</w:t>
      </w:r>
    </w:p>
    <w:p w14:paraId="3BAD750B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AI辅助的康复训练指导与效果智能评估</w:t>
      </w:r>
    </w:p>
    <w:p w14:paraId="6E9A5D0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隐私保护下的医疗AI模型训练方法研究</w:t>
      </w:r>
    </w:p>
    <w:p w14:paraId="5275045F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highlight w:val="none"/>
          <w:bdr w:val="none" w:sz="0" w:space="0"/>
        </w:rPr>
      </w:pPr>
      <w:r>
        <w:rPr>
          <w:rFonts w:hint="eastAsia" w:cs="仿宋_GB2312"/>
          <w:color w:val="auto"/>
          <w:sz w:val="32"/>
          <w:szCs w:val="32"/>
          <w:highlight w:val="none"/>
          <w:lang w:eastAsia="zh-CN"/>
        </w:rPr>
        <w:t>9.</w:t>
      </w:r>
      <w:r>
        <w:rPr>
          <w:rFonts w:hint="eastAsia" w:ascii="仿宋" w:hAnsi="仿宋" w:eastAsia="仿宋" w:cs="仿宋"/>
          <w:color w:val="auto"/>
          <w:spacing w:val="-6"/>
          <w:sz w:val="32"/>
          <w:szCs w:val="32"/>
          <w:highlight w:val="none"/>
          <w:lang w:eastAsia="zh-CN"/>
        </w:rPr>
        <w:t xml:space="preserve"> </w:t>
      </w:r>
      <w:r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  <w:t>基于AI的运动姿态分析与训练指导系统</w:t>
      </w:r>
    </w:p>
    <w:p w14:paraId="2339EC7D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highlight w:val="none"/>
          <w:bdr w:val="none" w:sz="0" w:space="0"/>
        </w:rPr>
      </w:pPr>
      <w:r>
        <w:rPr>
          <w:rFonts w:hint="eastAsia" w:cs="仿宋_GB2312"/>
          <w:color w:val="auto"/>
          <w:sz w:val="32"/>
          <w:szCs w:val="32"/>
          <w:highlight w:val="none"/>
          <w:lang w:eastAsia="zh-CN"/>
        </w:rPr>
        <w:t>10.</w:t>
      </w:r>
      <w:r>
        <w:rPr>
          <w:rFonts w:hint="eastAsia" w:ascii="仿宋" w:hAnsi="仿宋" w:eastAsia="仿宋" w:cs="仿宋"/>
          <w:color w:val="auto"/>
          <w:spacing w:val="-6"/>
          <w:sz w:val="32"/>
          <w:szCs w:val="32"/>
          <w:highlight w:val="none"/>
          <w:lang w:eastAsia="zh-CN"/>
        </w:rPr>
        <w:t xml:space="preserve"> </w:t>
      </w:r>
      <w:r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  <w:t>智能穿戴设备在体育教学与运动监测中的应用</w:t>
      </w:r>
    </w:p>
    <w:p w14:paraId="038AAD12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highlight w:val="none"/>
          <w:bdr w:val="none" w:sz="0" w:space="0"/>
        </w:rPr>
      </w:pPr>
      <w:r>
        <w:rPr>
          <w:rFonts w:hint="eastAsia" w:cs="仿宋_GB2312"/>
          <w:color w:val="auto"/>
          <w:sz w:val="32"/>
          <w:szCs w:val="32"/>
          <w:highlight w:val="none"/>
          <w:lang w:eastAsia="zh-CN"/>
        </w:rPr>
        <w:t>11.</w:t>
      </w:r>
      <w:r>
        <w:rPr>
          <w:rFonts w:hint="eastAsia" w:ascii="仿宋" w:hAnsi="仿宋" w:eastAsia="仿宋" w:cs="仿宋"/>
          <w:color w:val="auto"/>
          <w:spacing w:val="-6"/>
          <w:sz w:val="32"/>
          <w:szCs w:val="32"/>
          <w:highlight w:val="none"/>
          <w:lang w:eastAsia="zh-CN"/>
        </w:rPr>
        <w:t xml:space="preserve"> </w:t>
      </w:r>
      <w:r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  <w:t>AI驱动的个性化运动处方与体能评估</w:t>
      </w:r>
    </w:p>
    <w:p w14:paraId="371B597F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highlight w:val="none"/>
          <w:bdr w:val="none" w:sz="0" w:space="0"/>
        </w:rPr>
      </w:pPr>
      <w:r>
        <w:rPr>
          <w:rFonts w:hint="eastAsia" w:cs="仿宋_GB2312"/>
          <w:color w:val="auto"/>
          <w:sz w:val="32"/>
          <w:szCs w:val="32"/>
          <w:highlight w:val="none"/>
          <w:lang w:eastAsia="zh-CN"/>
        </w:rPr>
        <w:t>12.</w:t>
      </w:r>
      <w:r>
        <w:rPr>
          <w:rFonts w:hint="eastAsia" w:ascii="仿宋" w:hAnsi="仿宋" w:eastAsia="仿宋" w:cs="仿宋"/>
          <w:color w:val="auto"/>
          <w:spacing w:val="-6"/>
          <w:sz w:val="32"/>
          <w:szCs w:val="32"/>
          <w:highlight w:val="none"/>
          <w:lang w:eastAsia="zh-CN"/>
        </w:rPr>
        <w:t xml:space="preserve"> </w:t>
      </w:r>
      <w:r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  <w:t>体育赛事智能数据分析与战术辅助决策</w:t>
      </w:r>
    </w:p>
    <w:p w14:paraId="0CD8E5BD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164D4883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五、</w:t>
      </w:r>
      <w:r>
        <w:t>AI＋数字艺术创意研究</w:t>
      </w:r>
    </w:p>
    <w:p w14:paraId="54483702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生成式AI辅助的视觉内容创作与智能设计</w:t>
      </w:r>
    </w:p>
    <w:p w14:paraId="14772F1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国风美学元素的AI智能生成与天府文化文创应用</w:t>
      </w:r>
    </w:p>
    <w:p w14:paraId="12340516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三维数字资产的AI智能生成与动画驱动</w:t>
      </w:r>
    </w:p>
    <w:p w14:paraId="7C4CD220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虚拟数字人的AI交互行为生成与情感计算</w:t>
      </w:r>
    </w:p>
    <w:p w14:paraId="4E64627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人机协同的数字创意设计工作流研究</w:t>
      </w:r>
    </w:p>
    <w:p w14:paraId="1CD4F1D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AIGC内容的版权溯源、确权与合规技术</w:t>
      </w:r>
    </w:p>
    <w:p w14:paraId="1C68D36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AI辅助的影视剪辑与视觉特效合成技术</w:t>
      </w:r>
    </w:p>
    <w:p w14:paraId="6D20829A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基于AI的数字媒体内容智能分发与传播优化</w:t>
      </w:r>
    </w:p>
    <w:p w14:paraId="78B5C49D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509FFDCD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六、</w:t>
      </w:r>
      <w:r>
        <w:t>AI＋智能制造与工业软件应用研究</w:t>
      </w:r>
    </w:p>
    <w:p w14:paraId="372A38C8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制造业AI视觉检测与质量智能管控</w:t>
      </w:r>
    </w:p>
    <w:p w14:paraId="5E664E1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大模型驱动的工业设备预测性维护与健康管理</w:t>
      </w:r>
    </w:p>
    <w:p w14:paraId="731E34EF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数字孪生驱动的产线仿真与工艺参数优化</w:t>
      </w:r>
    </w:p>
    <w:p w14:paraId="6E77E2A1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工业多源异构数据的智能融合与价值挖掘</w:t>
      </w:r>
    </w:p>
    <w:p w14:paraId="2CC50C8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人机协同的柔性制造流程优化研究</w:t>
      </w:r>
    </w:p>
    <w:p w14:paraId="3B60C181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工业软件的AI辅助开发与智能测试技术</w:t>
      </w:r>
    </w:p>
    <w:p w14:paraId="53C83F1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面向智能制造的知识管理与智能检索系统</w:t>
      </w:r>
    </w:p>
    <w:p w14:paraId="0ED9DA41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低代码平台支撑的工业应用快速开发与部署</w:t>
      </w:r>
    </w:p>
    <w:p w14:paraId="44D310F3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063C7F46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七、</w:t>
      </w:r>
      <w:r>
        <w:t>AI＋思政融合创新研究</w:t>
      </w:r>
    </w:p>
    <w:p w14:paraId="3A825A6A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思政教育资源的AI辅助开发与智能推荐</w:t>
      </w:r>
    </w:p>
    <w:p w14:paraId="19AB99D6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AI赋能的思政课堂交互设计与效果评估</w:t>
      </w:r>
    </w:p>
    <w:p w14:paraId="1DDBFE58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学生思想动态大数据分析与精准画像</w:t>
      </w:r>
    </w:p>
    <w:p w14:paraId="7FE61ACE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思政知识图谱构建与智能问答系统</w:t>
      </w:r>
    </w:p>
    <w:p w14:paraId="3D31A20E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红色文化资源的数字化传承与智能传播</w:t>
      </w:r>
    </w:p>
    <w:p w14:paraId="1C78C2B7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网络思政舆情的智能监测与价值引导</w:t>
      </w:r>
    </w:p>
    <w:p w14:paraId="4AD5B817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虚拟思政宣讲的沉浸式体验与智能交互设计</w:t>
      </w:r>
    </w:p>
    <w:p w14:paraId="45F8FFA7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人工智能时代的思政教育模式创新研究</w:t>
      </w:r>
    </w:p>
    <w:p w14:paraId="4405C548">
      <w:pPr>
        <w:keepNext w:val="0"/>
        <w:keepLines w:val="0"/>
        <w:pageBreakBefore w:val="0"/>
        <w:widowControl/>
        <w:numPr>
          <w:ilvl w:val="-1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420" w:leftChars="20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CN"/>
        </w:rPr>
      </w:pPr>
    </w:p>
    <w:p w14:paraId="1E73EDA2">
      <w:pPr>
        <w:pStyle w:val="2"/>
        <w:widowControl/>
        <w:numPr>
          <w:numId w:val="0"/>
        </w:numPr>
        <w:topLinePunct w:val="0"/>
        <w:ind w:left="0" w:leftChars="0" w:firstLine="640"/>
        <w:rPr>
          <w:b w:val="0"/>
          <w:bdr w:val="none" w:sz="0" w:space="0"/>
        </w:rPr>
      </w:pPr>
      <w:r>
        <w:rPr>
          <w:rFonts w:hint="eastAsia"/>
          <w:lang w:eastAsia="zh-CN"/>
        </w:rPr>
        <w:t>八、</w:t>
      </w:r>
      <w:r>
        <w:t>AI＋数理学科交叉基础研究</w:t>
      </w:r>
    </w:p>
    <w:p w14:paraId="6EEEDC39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1.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面向工程应用场景的智能数值计算与仿真</w:t>
      </w:r>
    </w:p>
    <w:p w14:paraId="1F27D512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高维数据的智能统计分析与应用建模</w:t>
      </w:r>
    </w:p>
    <w:p w14:paraId="17FBA284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3.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教育大数据驱动的教学诊断与质量改进</w:t>
      </w:r>
    </w:p>
    <w:p w14:paraId="2580F27F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4.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基于AI的组合优化与智能调度方法</w:t>
      </w:r>
    </w:p>
    <w:p w14:paraId="1D663BAA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5.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数据驱动的应用规律发现与验证研究</w:t>
      </w:r>
    </w:p>
    <w:p w14:paraId="1BD5D66D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6.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面向行业应用的数据治理与质量评估</w:t>
      </w:r>
    </w:p>
    <w:p w14:paraId="6994FA6C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  <w:bdr w:val="none" w:sz="0" w:space="0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7.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AI驱动的实验设计与数据分析自动化</w:t>
      </w:r>
    </w:p>
    <w:p w14:paraId="1D76307A">
      <w:pPr>
        <w:pStyle w:val="11"/>
        <w:widowControl/>
        <w:numPr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</w:pPr>
      <w:r>
        <w:rPr>
          <w:rFonts w:hint="eastAsia" w:cs="仿宋_GB2312"/>
          <w:b w:val="0"/>
          <w:color w:val="auto"/>
          <w:sz w:val="32"/>
          <w:szCs w:val="32"/>
          <w:lang w:eastAsia="zh-CN"/>
        </w:rPr>
        <w:t>8.</w:t>
      </w:r>
      <w:r>
        <w:rPr>
          <w:rFonts w:hint="eastAsia" w:ascii="仿宋" w:hAnsi="仿宋" w:eastAsia="仿宋" w:cs="仿宋"/>
          <w:b w:val="0"/>
          <w:color w:val="auto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b w:val="0"/>
          <w:color w:val="auto"/>
          <w:sz w:val="32"/>
          <w:szCs w:val="32"/>
        </w:rPr>
        <w:t>低代码数据分析工具的开发与教学应用</w:t>
      </w:r>
    </w:p>
    <w:p w14:paraId="0CEBD237">
      <w:pPr>
        <w:pStyle w:val="11"/>
        <w:bidi w:val="0"/>
      </w:pPr>
      <w:bookmarkStart w:id="0" w:name="_GoBack"/>
      <w:bookmarkEnd w:id="0"/>
    </w:p>
    <w:sectPr>
      <w:headerReference r:id="rId3" w:type="default"/>
      <w:footerReference r:id="rId5" w:type="default"/>
      <w:headerReference r:id="rId4" w:type="even"/>
      <w:footerReference r:id="rId6" w:type="even"/>
      <w:pgSz w:w="11905" w:h="16840"/>
      <w:pgMar w:top="2098" w:right="1474" w:bottom="1984" w:left="1587" w:header="851" w:footer="1417" w:gutter="0"/>
      <w:pgNumType w:fmt="decimal" w:start="1"/>
      <w:cols w:space="720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2B43B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46EC12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1146EC12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16C4D2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A5380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A37onp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1DEA5380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78341">
    <w:pPr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F801D5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evenAndOddHeaders w:val="1"/>
  <w:drawingGridHorizontalSpacing w:val="158"/>
  <w:drawingGridVerticalSpacing w:val="290"/>
  <w:displayHorizontalDrawingGridEvery w:val="2"/>
  <w:displayVerticalDrawingGridEvery w:val="2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A452F"/>
    <w:rsid w:val="043033A7"/>
    <w:rsid w:val="06EF5225"/>
    <w:rsid w:val="07152EBE"/>
    <w:rsid w:val="07675A5B"/>
    <w:rsid w:val="0CD93263"/>
    <w:rsid w:val="0CF926D3"/>
    <w:rsid w:val="0E996F81"/>
    <w:rsid w:val="0FF42D52"/>
    <w:rsid w:val="10D83803"/>
    <w:rsid w:val="11407D54"/>
    <w:rsid w:val="11D566EF"/>
    <w:rsid w:val="12121331"/>
    <w:rsid w:val="12BE128D"/>
    <w:rsid w:val="132539EB"/>
    <w:rsid w:val="13AF628E"/>
    <w:rsid w:val="146B50E8"/>
    <w:rsid w:val="176412B7"/>
    <w:rsid w:val="19CA28B1"/>
    <w:rsid w:val="1B9C027D"/>
    <w:rsid w:val="1E6E5F01"/>
    <w:rsid w:val="20E9621A"/>
    <w:rsid w:val="23491466"/>
    <w:rsid w:val="237714E8"/>
    <w:rsid w:val="24894F4F"/>
    <w:rsid w:val="26270D44"/>
    <w:rsid w:val="27E00A55"/>
    <w:rsid w:val="2881757F"/>
    <w:rsid w:val="2A3C432E"/>
    <w:rsid w:val="2BE52FCC"/>
    <w:rsid w:val="2D833101"/>
    <w:rsid w:val="31360543"/>
    <w:rsid w:val="32FA0271"/>
    <w:rsid w:val="339A68C0"/>
    <w:rsid w:val="34B0163E"/>
    <w:rsid w:val="37B5307D"/>
    <w:rsid w:val="388D699F"/>
    <w:rsid w:val="3A1D44D9"/>
    <w:rsid w:val="3B406D04"/>
    <w:rsid w:val="3B781D15"/>
    <w:rsid w:val="3C5F52E9"/>
    <w:rsid w:val="3CB8534F"/>
    <w:rsid w:val="3DD855FC"/>
    <w:rsid w:val="3E373E2C"/>
    <w:rsid w:val="3E381078"/>
    <w:rsid w:val="404D099E"/>
    <w:rsid w:val="4116101B"/>
    <w:rsid w:val="418F5B68"/>
    <w:rsid w:val="42FC147E"/>
    <w:rsid w:val="42FF7D5D"/>
    <w:rsid w:val="467A71EB"/>
    <w:rsid w:val="475F3D89"/>
    <w:rsid w:val="488D7A30"/>
    <w:rsid w:val="4977360C"/>
    <w:rsid w:val="4A273284"/>
    <w:rsid w:val="4A4A0D21"/>
    <w:rsid w:val="4B8969A2"/>
    <w:rsid w:val="4C0513A3"/>
    <w:rsid w:val="4D127F16"/>
    <w:rsid w:val="4E165AE9"/>
    <w:rsid w:val="54CA318A"/>
    <w:rsid w:val="556775C3"/>
    <w:rsid w:val="56B2066F"/>
    <w:rsid w:val="57403EBE"/>
    <w:rsid w:val="588E753D"/>
    <w:rsid w:val="58C15CEE"/>
    <w:rsid w:val="5A8B634E"/>
    <w:rsid w:val="5BBD57F6"/>
    <w:rsid w:val="5BC13B5F"/>
    <w:rsid w:val="5D0725EE"/>
    <w:rsid w:val="5F1A4D0E"/>
    <w:rsid w:val="60881364"/>
    <w:rsid w:val="62BF0932"/>
    <w:rsid w:val="62E23D94"/>
    <w:rsid w:val="64A361B6"/>
    <w:rsid w:val="652D79C1"/>
    <w:rsid w:val="658A7B74"/>
    <w:rsid w:val="6A2E78BF"/>
    <w:rsid w:val="6BCF0C2E"/>
    <w:rsid w:val="6DFB6D29"/>
    <w:rsid w:val="6E8F26BE"/>
    <w:rsid w:val="700C35DB"/>
    <w:rsid w:val="70161006"/>
    <w:rsid w:val="70FA674D"/>
    <w:rsid w:val="71EA5622"/>
    <w:rsid w:val="74510E07"/>
    <w:rsid w:val="766052A4"/>
    <w:rsid w:val="7AB514DB"/>
    <w:rsid w:val="7BA67BFD"/>
    <w:rsid w:val="7BBA7205"/>
    <w:rsid w:val="7C1B5912"/>
    <w:rsid w:val="7DC205F3"/>
    <w:rsid w:val="7EDC3010"/>
    <w:rsid w:val="7FC775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2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Normal (Web)"/>
    <w:basedOn w:val="1"/>
    <w:qFormat/>
    <w:uiPriority w:val="0"/>
    <w:rPr>
      <w:sz w:val="24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19">
    <w:name w:val="Strong"/>
    <w:basedOn w:val="18"/>
    <w:qFormat/>
    <w:uiPriority w:val="0"/>
    <w:rPr>
      <w:b/>
    </w:rPr>
  </w:style>
  <w:style w:type="paragraph" w:customStyle="1" w:styleId="20">
    <w:name w:val="附录标题"/>
    <w:next w:val="1"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character" w:customStyle="1" w:styleId="21">
    <w:name w:val="标题 2 Char"/>
    <w:link w:val="3"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382c5a-4105-48ce-b1d8-2f1654e527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1952</Words>
  <Characters>2014</Characters>
  <TotalTime>1</TotalTime>
  <ScaleCrop>false</ScaleCrop>
  <LinksUpToDate>false</LinksUpToDate>
  <CharactersWithSpaces>2015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2026-04-07T08:42:00Z</dcterms:created>
  <dc:creator>Apache POI</dc:creator>
  <cp:lastModifiedBy>刘轩</cp:lastModifiedBy>
  <dcterms:modified xsi:type="dcterms:W3CDTF">2026-07-06T08:58:56Z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eyJoZGlkIjoiMTFjZDgwMjU4MTc1NTdkZWViNDE3MGE0YzRlYTU1NGQiLCJ1c2VySWQiOiI3MDUzMjE5NjgifQ==</vt:lpwstr>
  </property>
  <property fmtid="{D5CDD505-2E9C-101B-9397-08002B2CF9AE}" pid="3" name="KSOProductBuildVer">
    <vt:lpwstr>2052-12.1.0.26895</vt:lpwstr>
  </property>
  <property fmtid="{D5CDD505-2E9C-101B-9397-08002B2CF9AE}" pid="4" name="ICV">
    <vt:lpwstr>9791ADD0B92349D4900837B6BBCCB5AF_13</vt:lpwstr>
  </property>
</Properties>
</file>